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Accessibility for a Deterministic SI Agents Marketplace</w:t>
      </w:r>
    </w:p>
    <w:p>
      <w:pPr>
        <w:pStyle w:val="Subtitle"/>
      </w:pPr>
      <w:r>
        <w:t>An academic-style strategy for public evidence, developer discovery and SIDBMS-related content</w:t>
      </w:r>
    </w:p>
    <w:p>
      <w:r>
        <w:t>Determinstic SI Agents Marketplace</w:t>
        <w:br/>
        <w:t>By Glial Super Intelligence™</w:t>
        <w:br/>
        <w:t>Technical position paper • 17 October 2026</w:t>
      </w:r>
    </w:p>
    <w:p>
      <w:pPr>
        <w:pStyle w:val="Heading1"/>
      </w:pPr>
      <w:r>
        <w:t>Abstract</w:t>
      </w:r>
    </w:p>
    <w:p>
      <w:r>
        <w:t>This companion paper develops a search-accessibility and editorial strategy for the Determinstic SI Agents Marketplace. It relates public developer evidence, SI Companion, portable manifests, website widgets and SIDBMS parameter shielding to information architecture, content design and privacy-preserving measurement. The method treats keyword clusters as activation priorities for the Engineered framework and distinguishes public research-page provisions from broader marketplace SEO recommendations. The supplied Einstein–Daramola and shielding documents inform the terminology and evidence boundaries; their scientific and security assertions are not converted into ranking claims, certifications or deployed-service guarantees. Public HTML, canonical URLs, bibliographic metadata, downloadable papers and a sitemap support crawler access without guaranteeing indexing or scholarly-database inclusion.</w:t>
      </w:r>
    </w:p>
    <w:p>
      <w:r>
        <w:t>Keywords: Deterministic agents; Super Intelligence; SIDBMS; Glial verification; parameter shielding; developer governance; search accessibility.</w:t>
      </w:r>
    </w:p>
    <w:p>
      <w:pPr>
        <w:pStyle w:val="Heading1"/>
      </w:pPr>
      <w:r>
        <w:t>1. Scope, method and evidentiary classification</w:t>
      </w:r>
    </w:p>
    <w:p>
      <w:r>
        <w:t>This paper is a source-based architectural review of the Determinstic SI Agents Marketplace and its activation-stage relationship with the Super Intelligence Database Management System (SIDBMS). The method combines examination of marketplace implementation records, SIDBMS public descriptions, Project Statement disclosures, protocol guidance and two supplied technical documents. The Project Statement states that the framework is Engineered and awaiting activation. This paper documents that status without presenting a new controlled experiment, hardware benchmark, penetration test or independent scientific certification. [1] [2] [3]</w:t>
      </w:r>
    </w:p>
    <w:p>
      <w:r>
        <w:t>The Project Statement states that the SIDBMS and Glial framework is Engineered and awaiting activation. This paper distinguishes that engineering status from available marketplace capabilities, source-attributed technical findings and activation of the marketplace connection. Not Activated denotes the pending activation state; it does not describe the framework as unengineered. Documented SIDBMS and SIMS endpoint paths remain separate from implemented marketplace routes.</w:t>
      </w:r>
    </w:p>
    <w:p>
      <w:r>
        <w:t>The supplied Einstein–Daramola document comprises five PDF pages and the parameter-shielding document eleven pages, including its final blank page. Page references below refer to those supplied editions. Quotations are limited to necessary notation and identifiers; code examples are analysed rather than installed. Existing endpoint handshakes, marketplace-side verification and SIDBMS human-in-the-loop controls are retained. Stateless service processing does not remove authorization, replay protection or approval requirements. [4] [2] [3]</w:t>
      </w:r>
    </w:p>
    <w:p>
      <w:r>
        <w:t>The Project Statement states that the SIDBMS and Glial framework is Engineered and awaiting activation. The search strategy and measurement plan describe the activation priorities for this engineered framework and its marketplace connection. Activation status is recorded separately from public paper availability and search-engine indexing. This paper does not add new performance measurements or represent pending analytics instrumentation as active.</w:t>
      </w:r>
    </w:p>
    <w:p>
      <w:pPr>
        <w:pStyle w:val="Heading1"/>
      </w:pPr>
      <w:r>
        <w:t>2. Einstein–Daramola synthesis and the Glial verification model</w:t>
      </w:r>
    </w:p>
    <w:p>
      <w:r>
        <w:t>The supplied analysis documents the physical model underlying the engineered deterministic computing framework. The Project Statement states that its activation is pending. Its organizing notation is M ↔ M* = ASP³ = Qf ≥ 1.0. In the source, M and M* represent an active matrix and its conjugate mirror; ASP³ denotes an active spatial phase-shift mechanism; and Qf denotes a threshold-related gain factor. The notation is attributed to the supplied work; this paper does not repeat or independently certify its mathematical derivation. [2]</w:t>
      </w:r>
    </w:p>
    <w:p>
      <w:r>
        <w:t>On pages 1–2, the source describes localized wave packets, electromagnetic energy density and threshold-dependent detection. It argues that locally selected detection events can reproduce quantum-like correlations. The Project Statement states the engineering and activation status; the physical interpretation and conclusions remain attributed to the supplied analysis. This paper does not present a separate experimental dataset or independent replication, nor does it independently certify the source's conclusions concerning Bell's theorem. [2]</w:t>
      </w:r>
    </w:p>
    <w:p>
      <w:r>
        <w:t>Pages 3–4 document a Glial supervisory pathway inspired by astroglial coordination. The engineered architecture separates task execution from an isolated meta-verification layer, denoted L₁. The source describes a predicate Verify_ED(S,t) := [Qf(Obs(σt)) ≥ 1.0], followed by bounded-latency quiescence when the condition fails. Activation of the marketplace connection requires the service-defined Qf interpretation, trusted measurement channel, authorized state transition and bounded-latency scope to be supplied through the agreed operational contract. [2]</w:t>
      </w:r>
    </w:p>
    <w:p>
      <w:r>
        <w:t>The source also asserts a 500-trillion-parameter architecture, custom 2 nm ASIC execution, constant-time verification, autonomous self-modification and a readiness designation of TRL-10. These are source assertions. No independent hardware measurements, certification record or reproducible complexity analysis was supplied for this review. Constant-time evaluation of a fixed predicate must not be generalized to constant-time verification of arbitrary programs, nor should a restricted architecture be presented as solving unrestricted undecidability. [2]</w:t>
      </w:r>
    </w:p>
    <w:p>
      <w:r>
        <w:t>For marketplace developers, the useful architectural distinction is between declared agent behaviour, a separately governed verification decision and permission to commit an external action. The current manifest validator, offline CLI, fixed-routing runtime and human approval mechanism are marketplace facilities, distinct from the Engineered Glial framework awaiting activation. SIDBMS remains the user-designated principal deterministic verification, management, analysis and parameter-shielding layer. Its authorized marketplace connection is Not Activated.</w:t>
      </w:r>
    </w:p>
    <w:p>
      <w:pPr>
        <w:pStyle w:val="Heading1"/>
      </w:pPr>
      <w:r>
        <w:t>3. Parameter shielding as a separate defensive layer</w:t>
      </w:r>
    </w:p>
    <w:p>
      <w:r>
        <w:t>The Shielding SI document explicitly distinguishes parameter shielding from the existing containment guard. It documents a second defensive layer for requests directed at external targets, alongside an internal infrastructure-compliance pipeline. The Project Statement states that the framework is Engineered and awaiting activation. The marketplace preserves the distinction between containment, which constrains an execution boundary, and parameter screening, which evaluates a bounded request before an authorized action. Neither a screening result nor a monitoring event independently proves containment or successful execution. [3]</w:t>
      </w:r>
    </w:p>
    <w:p>
      <w:pPr>
        <w:pStyle w:val="Caption"/>
      </w:pPr>
      <w:r>
        <w:t>Table 1. Parameter shielding as a separate defensive layer</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Source component</w:t>
            </w:r>
          </w:p>
        </w:tc>
        <w:tc>
          <w:tcPr>
            <w:tcW w:type="dxa" w:w="3213"/>
          </w:tcPr>
          <w:p>
            <w:r>
              <w:rPr>
                <w:sz w:val="18"/>
              </w:rPr>
              <w:t>Documented responsibility</w:t>
            </w:r>
          </w:p>
        </w:tc>
        <w:tc>
          <w:tcPr>
            <w:tcW w:type="dxa" w:w="3213"/>
          </w:tcPr>
          <w:p>
            <w:r>
              <w:rPr>
                <w:sz w:val="18"/>
              </w:rPr>
              <w:t>Marketplace interpretation</w:t>
            </w:r>
          </w:p>
        </w:tc>
      </w:tr>
      <w:tr>
        <w:tc>
          <w:tcPr>
            <w:tcW w:type="dxa" w:w="3213"/>
          </w:tcPr>
          <w:p>
            <w:r>
              <w:rPr>
                <w:sz w:val="18"/>
              </w:rPr>
              <w:t>Internal compliance pipeline</w:t>
            </w:r>
          </w:p>
        </w:tc>
        <w:tc>
          <w:tcPr>
            <w:tcW w:type="dxa" w:w="3213"/>
          </w:tcPr>
          <w:p>
            <w:r>
              <w:rPr>
                <w:sz w:val="18"/>
              </w:rPr>
              <w:t>Ingest structured telemetry, evaluate a threshold-related scaling policy, then record a permitted state transition.</w:t>
            </w:r>
          </w:p>
        </w:tc>
        <w:tc>
          <w:tcPr>
            <w:tcW w:type="dxa" w:w="3213"/>
          </w:tcPr>
          <w:p>
            <w:r>
              <w:rPr>
                <w:sz w:val="18"/>
              </w:rPr>
              <w:t>Reference design for scoped decisions; not a deployed marketplace scaling controller.</w:t>
            </w:r>
          </w:p>
        </w:tc>
      </w:tr>
      <w:tr>
        <w:tc>
          <w:tcPr>
            <w:tcW w:type="dxa" w:w="3213"/>
          </w:tcPr>
          <w:p>
            <w:r>
              <w:rPr>
                <w:sz w:val="18"/>
              </w:rPr>
              <w:t>Target perimeter shield</w:t>
            </w:r>
          </w:p>
        </w:tc>
        <w:tc>
          <w:tcPr>
            <w:tcW w:type="dxa" w:w="3213"/>
          </w:tcPr>
          <w:p>
            <w:r>
              <w:rPr>
                <w:sz w:val="18"/>
              </w:rPr>
              <w:t>Inspect endpoint selection, payload type, suspicious input patterns and a reported request-volume value.</w:t>
            </w:r>
          </w:p>
        </w:tc>
        <w:tc>
          <w:tcPr>
            <w:tcW w:type="dxa" w:w="3213"/>
          </w:tcPr>
          <w:p>
            <w:r>
              <w:rPr>
                <w:sz w:val="18"/>
              </w:rPr>
              <w:t>Additional policy layer; ALLOWED is not proof that arbitrary input is safe.</w:t>
            </w:r>
          </w:p>
        </w:tc>
      </w:tr>
      <w:tr>
        <w:tc>
          <w:tcPr>
            <w:tcW w:type="dxa" w:w="3213"/>
          </w:tcPr>
          <w:p>
            <w:r>
              <w:rPr>
                <w:sz w:val="18"/>
              </w:rPr>
              <w:t>Monitoring instrumentation</w:t>
            </w:r>
          </w:p>
        </w:tc>
        <w:tc>
          <w:tcPr>
            <w:tcW w:type="dxa" w:w="3213"/>
          </w:tcPr>
          <w:p>
            <w:r>
              <w:rPr>
                <w:sz w:val="18"/>
              </w:rPr>
              <w:t>Describe circuit state, phase violations, shield drops and transaction-labelled counters.</w:t>
            </w:r>
          </w:p>
        </w:tc>
        <w:tc>
          <w:tcPr>
            <w:tcW w:type="dxa" w:w="3213"/>
          </w:tcPr>
          <w:p>
            <w:r>
              <w:rPr>
                <w:sz w:val="18"/>
              </w:rPr>
              <w:t>Observability design; a counter increment is not a blockchain receipt or independent security proof.</w:t>
            </w:r>
          </w:p>
        </w:tc>
      </w:tr>
      <w:tr>
        <w:tc>
          <w:tcPr>
            <w:tcW w:type="dxa" w:w="3213"/>
          </w:tcPr>
          <w:p>
            <w:r>
              <w:rPr>
                <w:sz w:val="18"/>
              </w:rPr>
              <w:t>Human-governed admission</w:t>
            </w:r>
          </w:p>
        </w:tc>
        <w:tc>
          <w:tcPr>
            <w:tcW w:type="dxa" w:w="3213"/>
          </w:tcPr>
          <w:p>
            <w:r>
              <w:rPr>
                <w:sz w:val="18"/>
              </w:rPr>
              <w:t>Retain authorized access and the existing SIDBMS human review process.</w:t>
            </w:r>
          </w:p>
        </w:tc>
        <w:tc>
          <w:tcPr>
            <w:tcW w:type="dxa" w:w="3213"/>
          </w:tcPr>
          <w:p>
            <w:r>
              <w:rPr>
                <w:sz w:val="18"/>
              </w:rPr>
              <w:t>Automated screening never replaces required human approval or local ownership checks.</w:t>
            </w:r>
          </w:p>
        </w:tc>
      </w:tr>
    </w:tbl>
    <w:p>
      <w:r>
        <w:t>The source's reference paths are POST /api/v2/sims/pipeline/handshake, POST /api/v2/sims/shield/perimeter and GET /metrics. They describe the supplied SIMS gateway example and are not marketplace API routes. They do not replace the separately documented /integration/v1 handshake vocabulary, whose availability and schema remain controlled by SIDBMS. There are no activation buttons or automatic calls to these reference endpoints in the marketplace. [3]</w:t>
      </w:r>
    </w:p>
    <w:p>
      <w:r>
        <w:t>The supplied gateway uses token-prefix acceptance and signature-length checks; these do not establish token validity or cryptographic authenticity. A production design requires actual credential verification and a signature or MAC bound to a canonical request, with approved keys, freshness checks, replay prevention, scoped authorization and transport protection. This paper intentionally omits the source's mock credentials and local development seed. [3]</w:t>
      </w:r>
    </w:p>
    <w:p>
      <w:r>
        <w:t>The reported volume value is supplied by the caller, so trustworthy enforcement requires server-side measurement and quotas. Regular-expression filters are illustrative policy checks, not a complete injection defence. Permitted targets and operations need allowlists, schema constraints and appropriate output/network controls. Metrics must be protected and avoid unbounded sensitive labels. Exceptions must not disclose internal implementation details. [3]</w:t>
      </w:r>
    </w:p>
    <w:p>
      <w:r>
        <w:t>The sample constructs its state engine within each request and increments transaction-labelled counters; it does not demonstrate durable rollback or actual ledger settlement. A stateless request boundary can coexist with an authorized external audit or state system, but those mechanisms must be explicitly connected and evidenced. The supplied positive and negative tests are examples of intended behaviour, not proof that this marketplace has executed or passed them. [3]</w:t>
      </w:r>
    </w:p>
    <w:p>
      <w:r>
        <w:t>Developer application therefore proceeds through explicit admission, an agreed service contract, authenticated handshakes and bound outcomes, with human review wherever SIDBMS requires it. The marketplace retains its own authorization and ownership checks and never treats a remote ALLOWED value as an unconditional execution permit. The paper is publication-ready without making activation or independent certification a prerequisite for publishing the dossier.</w:t>
      </w:r>
    </w:p>
    <w:p>
      <w:pPr>
        <w:pStyle w:val="Heading1"/>
      </w:pPr>
      <w:r>
        <w:t>4. Search intent and keyword activation priorities</w:t>
      </w:r>
    </w:p>
    <w:p>
      <w:r>
        <w:t>The search strategy should connect a clear developer need—publishing and testing bounded agents—to a differentiated trust model. Lead with the actual offering rather than treating “Super Intelligence” as proof of capability. Google's people-first guidance favours content that serves a defined audience and demonstrates real knowledge; that supports practical manifests, examples, limitations and verification explanations. [5]</w:t>
      </w:r>
    </w:p>
    <w:p>
      <w:pPr>
        <w:pStyle w:val="Caption"/>
      </w:pPr>
      <w:r>
        <w:t>Table 2. Search intent and keyword activation priorities</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Cluster / priority</w:t>
            </w:r>
          </w:p>
        </w:tc>
        <w:tc>
          <w:tcPr>
            <w:tcW w:type="dxa" w:w="3213"/>
          </w:tcPr>
          <w:p>
            <w:r>
              <w:rPr>
                <w:sz w:val="18"/>
              </w:rPr>
              <w:t>Keyword activation priorities</w:t>
            </w:r>
          </w:p>
        </w:tc>
        <w:tc>
          <w:tcPr>
            <w:tcW w:type="dxa" w:w="3213"/>
          </w:tcPr>
          <w:p>
            <w:r>
              <w:rPr>
                <w:sz w:val="18"/>
              </w:rPr>
              <w:t>Destination and intent</w:t>
            </w:r>
          </w:p>
        </w:tc>
      </w:tr>
      <w:tr>
        <w:tc>
          <w:tcPr>
            <w:tcW w:type="dxa" w:w="3213"/>
          </w:tcPr>
          <w:p>
            <w:r>
              <w:rPr>
                <w:sz w:val="18"/>
              </w:rPr>
              <w:t>Brand / highest</w:t>
            </w:r>
          </w:p>
        </w:tc>
        <w:tc>
          <w:tcPr>
            <w:tcW w:type="dxa" w:w="3213"/>
          </w:tcPr>
          <w:p>
            <w:r>
              <w:rPr>
                <w:sz w:val="18"/>
              </w:rPr>
              <w:t>Determinstic SI Agents Marketplace; Glial Super Intelligence marketplace</w:t>
            </w:r>
          </w:p>
        </w:tc>
        <w:tc>
          <w:tcPr>
            <w:tcW w:type="dxa" w:w="3213"/>
          </w:tcPr>
          <w:p>
            <w:r>
              <w:rPr>
                <w:sz w:val="18"/>
              </w:rPr>
              <w:t>Home / about: identify the product and its boundaries.</w:t>
            </w:r>
          </w:p>
        </w:tc>
      </w:tr>
      <w:tr>
        <w:tc>
          <w:tcPr>
            <w:tcW w:type="dxa" w:w="3213"/>
          </w:tcPr>
          <w:p>
            <w:r>
              <w:rPr>
                <w:sz w:val="18"/>
              </w:rPr>
              <w:t>Core category / high</w:t>
            </w:r>
          </w:p>
        </w:tc>
        <w:tc>
          <w:tcPr>
            <w:tcW w:type="dxa" w:w="3213"/>
          </w:tcPr>
          <w:p>
            <w:r>
              <w:rPr>
                <w:sz w:val="18"/>
              </w:rPr>
              <w:t>SI agents marketplace; Super Intelligence agents marketplace; deterministic agent marketplace</w:t>
            </w:r>
          </w:p>
        </w:tc>
        <w:tc>
          <w:tcPr>
            <w:tcW w:type="dxa" w:w="3213"/>
          </w:tcPr>
          <w:p>
            <w:r>
              <w:rPr>
                <w:sz w:val="18"/>
              </w:rPr>
              <w:t>Discovery hub: compare and inspect actual inventory.</w:t>
            </w:r>
          </w:p>
        </w:tc>
      </w:tr>
      <w:tr>
        <w:tc>
          <w:tcPr>
            <w:tcW w:type="dxa" w:w="3213"/>
          </w:tcPr>
          <w:p>
            <w:r>
              <w:rPr>
                <w:sz w:val="18"/>
              </w:rPr>
              <w:t>Developer / high</w:t>
            </w:r>
          </w:p>
        </w:tc>
        <w:tc>
          <w:tcPr>
            <w:tcW w:type="dxa" w:w="3213"/>
          </w:tcPr>
          <w:p>
            <w:r>
              <w:rPr>
                <w:sz w:val="18"/>
              </w:rPr>
              <w:t>publish SI agents; SI developer companion; agent manifest validator</w:t>
            </w:r>
          </w:p>
        </w:tc>
        <w:tc>
          <w:tcPr>
            <w:tcW w:type="dxa" w:w="3213"/>
          </w:tcPr>
          <w:p>
            <w:r>
              <w:rPr>
                <w:sz w:val="18"/>
              </w:rPr>
              <w:t>Developer Hub and publishing guide: validation and first useful listing.</w:t>
            </w:r>
          </w:p>
        </w:tc>
      </w:tr>
      <w:tr>
        <w:tc>
          <w:tcPr>
            <w:tcW w:type="dxa" w:w="3213"/>
          </w:tcPr>
          <w:p>
            <w:r>
              <w:rPr>
                <w:sz w:val="18"/>
              </w:rPr>
              <w:t>Deterministic search bridge / high</w:t>
            </w:r>
          </w:p>
        </w:tc>
        <w:tc>
          <w:tcPr>
            <w:tcW w:type="dxa" w:w="3213"/>
          </w:tcPr>
          <w:p>
            <w:r>
              <w:rPr>
                <w:sz w:val="18"/>
              </w:rPr>
              <w:t>deterministic AI agents; deterministic vs autonomous agents; rule-based agent workflows</w:t>
            </w:r>
          </w:p>
        </w:tc>
        <w:tc>
          <w:tcPr>
            <w:tcW w:type="dxa" w:w="3213"/>
          </w:tcPr>
          <w:p>
            <w:r>
              <w:rPr>
                <w:sz w:val="18"/>
              </w:rPr>
              <w:t>An explanatory guide that distinguishes search terminology from the model-free current runtime.</w:t>
            </w:r>
          </w:p>
        </w:tc>
      </w:tr>
      <w:tr>
        <w:tc>
          <w:tcPr>
            <w:tcW w:type="dxa" w:w="3213"/>
          </w:tcPr>
          <w:p>
            <w:r>
              <w:rPr>
                <w:sz w:val="18"/>
              </w:rPr>
              <w:t>Task-led / high</w:t>
            </w:r>
          </w:p>
        </w:tc>
        <w:tc>
          <w:tcPr>
            <w:tcW w:type="dxa" w:w="3213"/>
          </w:tcPr>
          <w:p>
            <w:r>
              <w:rPr>
                <w:sz w:val="18"/>
              </w:rPr>
              <w:t>note search agent; approval-gated note agent; deterministic workflow agent</w:t>
            </w:r>
          </w:p>
        </w:tc>
        <w:tc>
          <w:tcPr>
            <w:tcW w:type="dxa" w:w="3213"/>
          </w:tcPr>
          <w:p>
            <w:r>
              <w:rPr>
                <w:sz w:val="18"/>
              </w:rPr>
              <w:t>Substantive listing and workflow pages tied to real capabilities.</w:t>
            </w:r>
          </w:p>
        </w:tc>
      </w:tr>
      <w:tr>
        <w:tc>
          <w:tcPr>
            <w:tcW w:type="dxa" w:w="3213"/>
          </w:tcPr>
          <w:p>
            <w:r>
              <w:rPr>
                <w:sz w:val="18"/>
              </w:rPr>
              <w:t>Governance / medium</w:t>
            </w:r>
          </w:p>
        </w:tc>
        <w:tc>
          <w:tcPr>
            <w:tcW w:type="dxa" w:w="3213"/>
          </w:tcPr>
          <w:p>
            <w:r>
              <w:rPr>
                <w:sz w:val="18"/>
              </w:rPr>
              <w:t>human approval agent tools; agent capability allowlist; agent ownership controls</w:t>
            </w:r>
          </w:p>
        </w:tc>
        <w:tc>
          <w:tcPr>
            <w:tcW w:type="dxa" w:w="3213"/>
          </w:tcPr>
          <w:p>
            <w:r>
              <w:rPr>
                <w:sz w:val="18"/>
              </w:rPr>
              <w:t>Trust and technical guides: explain and demonstrate controls.</w:t>
            </w:r>
          </w:p>
        </w:tc>
      </w:tr>
      <w:tr>
        <w:tc>
          <w:tcPr>
            <w:tcW w:type="dxa" w:w="3213"/>
          </w:tcPr>
          <w:p>
            <w:r>
              <w:rPr>
                <w:sz w:val="18"/>
              </w:rPr>
              <w:t>SIDBMS / medium</w:t>
            </w:r>
          </w:p>
        </w:tc>
        <w:tc>
          <w:tcPr>
            <w:tcW w:type="dxa" w:w="3213"/>
          </w:tcPr>
          <w:p>
            <w:r>
              <w:rPr>
                <w:sz w:val="18"/>
              </w:rPr>
              <w:t>SIDBMS verification; agent parameter shielding; SIDBMS simulation application</w:t>
            </w:r>
          </w:p>
        </w:tc>
        <w:tc>
          <w:tcPr>
            <w:tcW w:type="dxa" w:w="3213"/>
          </w:tcPr>
          <w:p>
            <w:r>
              <w:rPr>
                <w:sz w:val="18"/>
              </w:rPr>
              <w:t>Integration/access explainers: engineered framework, application/KYC and marketplace connection awaiting activation.</w:t>
            </w:r>
          </w:p>
        </w:tc>
      </w:tr>
      <w:tr>
        <w:tc>
          <w:tcPr>
            <w:tcW w:type="dxa" w:w="3213"/>
          </w:tcPr>
          <w:p>
            <w:r>
              <w:rPr>
                <w:sz w:val="18"/>
              </w:rPr>
              <w:t>Category expansion / conditional</w:t>
            </w:r>
          </w:p>
        </w:tc>
        <w:tc>
          <w:tcPr>
            <w:tcW w:type="dxa" w:w="3213"/>
          </w:tcPr>
          <w:p>
            <w:r>
              <w:rPr>
                <w:sz w:val="18"/>
              </w:rPr>
              <w:t>research agents; operations agents; customer support agents</w:t>
            </w:r>
          </w:p>
        </w:tc>
        <w:tc>
          <w:tcPr>
            <w:tcW w:type="dxa" w:w="3213"/>
          </w:tcPr>
          <w:p>
            <w:r>
              <w:rPr>
                <w:sz w:val="18"/>
              </w:rPr>
              <w:t>Only publish indexable category pages when real inventory and distinct value exist.</w:t>
            </w:r>
          </w:p>
        </w:tc>
      </w:tr>
      <w:tr>
        <w:tc>
          <w:tcPr>
            <w:tcW w:type="dxa" w:w="3213"/>
          </w:tcPr>
          <w:p>
            <w:r>
              <w:rPr>
                <w:sz w:val="18"/>
              </w:rPr>
              <w:t>Localization / conditional</w:t>
            </w:r>
          </w:p>
        </w:tc>
        <w:tc>
          <w:tcPr>
            <w:tcW w:type="dxa" w:w="3213"/>
          </w:tcPr>
          <w:p>
            <w:r>
              <w:rPr>
                <w:sz w:val="18"/>
              </w:rPr>
              <w:t>Translated brand/category/task queries validated by local users</w:t>
            </w:r>
          </w:p>
        </w:tc>
        <w:tc>
          <w:tcPr>
            <w:tcW w:type="dxa" w:w="3213"/>
          </w:tcPr>
          <w:p>
            <w:r>
              <w:rPr>
                <w:sz w:val="18"/>
              </w:rPr>
              <w:t>Genuine translated pages with local editorial review, not keyword-only clones.</w:t>
            </w:r>
          </w:p>
        </w:tc>
      </w:tr>
    </w:tbl>
    <w:p>
      <w:pPr>
        <w:pStyle w:val="Heading2"/>
      </w:pPr>
      <w:r>
        <w:t>Demand validation and prioritization</w:t>
      </w:r>
    </w:p>
    <w:p>
      <w:r>
        <w:t>These search terms define activation priorities for the marketplace and its Engineered SIDBMS framework awaiting activation. They are not reported keyword-volume measurements. Use user interviews and query research, then Search Console impressions, clicks, query intent and conversions after activation. Prioritize by audience fit, available inventory, evidence quality, editorial effort and downstream activation, without making unmeasured traffic promises. [6]</w:t>
      </w:r>
    </w:p>
    <w:p>
      <w:r>
        <w:t>Use “deterministic AI” naturally in a comparison or glossary when it answers a real search question. Preserve SI / Super Intelligence as the public product terminology and explicitly explain that the reviewed runtime uses fixed rules rather than a generative-model service.</w:t>
      </w:r>
    </w:p>
    <w:p>
      <w:pPr>
        <w:pStyle w:val="Heading1"/>
      </w:pPr>
      <w:r>
        <w:t>5. Information architecture and public-page differentiation</w:t>
      </w:r>
    </w:p>
    <w:p>
      <w:r>
        <w:t>Separate useful public content from account operations. Home/discovery, public listings, /developers and private studio routes exist; the other routes below are recommendations. Do not publish empty categories or describe proposed guides/integration pages as implemented. [1] [7]</w:t>
      </w:r>
    </w:p>
    <w:p>
      <w:pPr>
        <w:pStyle w:val="Caption"/>
      </w:pPr>
      <w:r>
        <w:t>Table 3. Information architecture and public-page differentiation</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Public route / route family</w:t>
            </w:r>
          </w:p>
        </w:tc>
        <w:tc>
          <w:tcPr>
            <w:tcW w:type="dxa" w:w="3213"/>
          </w:tcPr>
          <w:p>
            <w:r>
              <w:rPr>
                <w:sz w:val="18"/>
              </w:rPr>
              <w:t>Purpose</w:t>
            </w:r>
          </w:p>
        </w:tc>
        <w:tc>
          <w:tcPr>
            <w:tcW w:type="dxa" w:w="3213"/>
          </w:tcPr>
          <w:p>
            <w:r>
              <w:rPr>
                <w:sz w:val="18"/>
              </w:rPr>
              <w:t>Indexing policy</w:t>
            </w:r>
          </w:p>
        </w:tc>
      </w:tr>
      <w:tr>
        <w:tc>
          <w:tcPr>
            <w:tcW w:type="dxa" w:w="3213"/>
          </w:tcPr>
          <w:p>
            <w:r>
              <w:rPr>
                <w:sz w:val="18"/>
              </w:rPr>
              <w:t>/</w:t>
            </w:r>
          </w:p>
        </w:tc>
        <w:tc>
          <w:tcPr>
            <w:tcW w:type="dxa" w:w="3213"/>
          </w:tcPr>
          <w:p>
            <w:r>
              <w:rPr>
                <w:sz w:val="18"/>
              </w:rPr>
              <w:t>Clear positioning, featured real inventory and developer/user entry paths.</w:t>
            </w:r>
          </w:p>
        </w:tc>
        <w:tc>
          <w:tcPr>
            <w:tcW w:type="dxa" w:w="3213"/>
          </w:tcPr>
          <w:p>
            <w:r>
              <w:rPr>
                <w:sz w:val="18"/>
              </w:rPr>
              <w:t>Index; primary brand URL.</w:t>
            </w:r>
          </w:p>
        </w:tc>
      </w:tr>
      <w:tr>
        <w:tc>
          <w:tcPr>
            <w:tcW w:type="dxa" w:w="3213"/>
          </w:tcPr>
          <w:p>
            <w:r>
              <w:rPr>
                <w:sz w:val="18"/>
              </w:rPr>
              <w:t>/discover</w:t>
            </w:r>
          </w:p>
        </w:tc>
        <w:tc>
          <w:tcPr>
            <w:tcW w:type="dxa" w:w="3213"/>
          </w:tcPr>
          <w:p>
            <w:r>
              <w:rPr>
                <w:sz w:val="18"/>
              </w:rPr>
              <w:t>Browsable catalog with useful editorial context.</w:t>
            </w:r>
          </w:p>
        </w:tc>
        <w:tc>
          <w:tcPr>
            <w:tcW w:type="dxa" w:w="3213"/>
          </w:tcPr>
          <w:p>
            <w:r>
              <w:rPr>
                <w:sz w:val="18"/>
              </w:rPr>
              <w:t>Index if distinct from home.</w:t>
            </w:r>
          </w:p>
        </w:tc>
      </w:tr>
      <w:tr>
        <w:tc>
          <w:tcPr>
            <w:tcW w:type="dxa" w:w="3213"/>
          </w:tcPr>
          <w:p>
            <w:r>
              <w:rPr>
                <w:sz w:val="18"/>
              </w:rPr>
              <w:t>/marketplace/{agentId}</w:t>
            </w:r>
          </w:p>
        </w:tc>
        <w:tc>
          <w:tcPr>
            <w:tcW w:type="dxa" w:w="3213"/>
          </w:tcPr>
          <w:p>
            <w:r>
              <w:rPr>
                <w:sz w:val="18"/>
              </w:rPr>
              <w:t>Unique listing details, limitations, version, source/license and evidence.</w:t>
            </w:r>
          </w:p>
        </w:tc>
        <w:tc>
          <w:tcPr>
            <w:tcW w:type="dxa" w:w="3213"/>
          </w:tcPr>
          <w:p>
            <w:r>
              <w:rPr>
                <w:sz w:val="18"/>
              </w:rPr>
              <w:t>Index published, substantive listings only.</w:t>
            </w:r>
          </w:p>
        </w:tc>
      </w:tr>
      <w:tr>
        <w:tc>
          <w:tcPr>
            <w:tcW w:type="dxa" w:w="3213"/>
          </w:tcPr>
          <w:p>
            <w:r>
              <w:rPr>
                <w:sz w:val="18"/>
              </w:rPr>
              <w:t>/categories/{category}</w:t>
            </w:r>
          </w:p>
        </w:tc>
        <w:tc>
          <w:tcPr>
            <w:tcW w:type="dxa" w:w="3213"/>
          </w:tcPr>
          <w:p>
            <w:r>
              <w:rPr>
                <w:sz w:val="18"/>
              </w:rPr>
              <w:t>Curated category hub, examples and evaluation criteria.</w:t>
            </w:r>
          </w:p>
        </w:tc>
        <w:tc>
          <w:tcPr>
            <w:tcW w:type="dxa" w:w="3213"/>
          </w:tcPr>
          <w:p>
            <w:r>
              <w:rPr>
                <w:sz w:val="18"/>
              </w:rPr>
              <w:t>Index only when populated and useful.</w:t>
            </w:r>
          </w:p>
        </w:tc>
      </w:tr>
      <w:tr>
        <w:tc>
          <w:tcPr>
            <w:tcW w:type="dxa" w:w="3213"/>
          </w:tcPr>
          <w:p>
            <w:r>
              <w:rPr>
                <w:sz w:val="18"/>
              </w:rPr>
              <w:t>/developers</w:t>
            </w:r>
          </w:p>
        </w:tc>
        <w:tc>
          <w:tcPr>
            <w:tcW w:type="dxa" w:w="3213"/>
          </w:tcPr>
          <w:p>
            <w:r>
              <w:rPr>
                <w:sz w:val="18"/>
              </w:rPr>
              <w:t>Implemented Hub, Companion, schemas, CLI and website widget builder.</w:t>
            </w:r>
          </w:p>
        </w:tc>
        <w:tc>
          <w:tcPr>
            <w:tcW w:type="dxa" w:w="3213"/>
          </w:tcPr>
          <w:p>
            <w:r>
              <w:rPr>
                <w:sz w:val="18"/>
              </w:rPr>
              <w:t>Public route in this release; publish the updated app build.</w:t>
            </w:r>
          </w:p>
        </w:tc>
      </w:tr>
      <w:tr>
        <w:tc>
          <w:tcPr>
            <w:tcW w:type="dxa" w:w="3213"/>
          </w:tcPr>
          <w:p>
            <w:r>
              <w:rPr>
                <w:sz w:val="18"/>
              </w:rPr>
              <w:t>/guides/publish-an-agent</w:t>
            </w:r>
          </w:p>
        </w:tc>
        <w:tc>
          <w:tcPr>
            <w:tcW w:type="dxa" w:w="3213"/>
          </w:tcPr>
          <w:p>
            <w:r>
              <w:rPr>
                <w:sz w:val="18"/>
              </w:rPr>
              <w:t>Extended publishing tutorial beyond the Hub quickstart.</w:t>
            </w:r>
          </w:p>
        </w:tc>
        <w:tc>
          <w:tcPr>
            <w:tcW w:type="dxa" w:w="3213"/>
          </w:tcPr>
          <w:p>
            <w:r>
              <w:rPr>
                <w:sz w:val="18"/>
              </w:rPr>
              <w:t>Planned editorial page; not an existing route.</w:t>
            </w:r>
          </w:p>
        </w:tc>
      </w:tr>
      <w:tr>
        <w:tc>
          <w:tcPr>
            <w:tcW w:type="dxa" w:w="3213"/>
          </w:tcPr>
          <w:p>
            <w:r>
              <w:rPr>
                <w:sz w:val="18"/>
              </w:rPr>
              <w:t>/trust and /guides/deterministic-agents</w:t>
            </w:r>
          </w:p>
        </w:tc>
        <w:tc>
          <w:tcPr>
            <w:tcW w:type="dxa" w:w="3213"/>
          </w:tcPr>
          <w:p>
            <w:r>
              <w:rPr>
                <w:sz w:val="18"/>
              </w:rPr>
              <w:t>Scope of ownership, approvals and deterministic behaviour.</w:t>
            </w:r>
          </w:p>
        </w:tc>
        <w:tc>
          <w:tcPr>
            <w:tcW w:type="dxa" w:w="3213"/>
          </w:tcPr>
          <w:p>
            <w:r>
              <w:rPr>
                <w:sz w:val="18"/>
              </w:rPr>
              <w:t>Planned; reviewed technical content.</w:t>
            </w:r>
          </w:p>
        </w:tc>
      </w:tr>
      <w:tr>
        <w:tc>
          <w:tcPr>
            <w:tcW w:type="dxa" w:w="3213"/>
          </w:tcPr>
          <w:p>
            <w:r>
              <w:rPr>
                <w:sz w:val="18"/>
              </w:rPr>
              <w:t>/integrations/sidbms</w:t>
            </w:r>
          </w:p>
        </w:tc>
        <w:tc>
          <w:tcPr>
            <w:tcW w:type="dxa" w:w="3213"/>
          </w:tcPr>
          <w:p>
            <w:r>
              <w:rPr>
                <w:sz w:val="18"/>
              </w:rPr>
              <w:t>Explain the ecosystem connection, release limits and current implementation status.</w:t>
            </w:r>
          </w:p>
        </w:tc>
        <w:tc>
          <w:tcPr>
            <w:tcW w:type="dxa" w:w="3213"/>
          </w:tcPr>
          <w:p>
            <w:r>
              <w:rPr>
                <w:sz w:val="18"/>
              </w:rPr>
              <w:t>Planned; do not label as connected prematurely.</w:t>
            </w:r>
          </w:p>
        </w:tc>
      </w:tr>
      <w:tr>
        <w:tc>
          <w:tcPr>
            <w:tcW w:type="dxa" w:w="3213"/>
          </w:tcPr>
          <w:p>
            <w:r>
              <w:rPr>
                <w:sz w:val="18"/>
              </w:rPr>
              <w:t>/integrations/sidbms/access</w:t>
            </w:r>
          </w:p>
        </w:tc>
        <w:tc>
          <w:tcPr>
            <w:tcW w:type="dxa" w:w="3213"/>
          </w:tcPr>
          <w:p>
            <w:r>
              <w:rPr>
                <w:sz w:val="18"/>
              </w:rPr>
              <w:t>Explain simulation application, KYC, eligible actors and admission boundaries.</w:t>
            </w:r>
          </w:p>
        </w:tc>
        <w:tc>
          <w:tcPr>
            <w:tcW w:type="dxa" w:w="3213"/>
          </w:tcPr>
          <w:p>
            <w:r>
              <w:rPr>
                <w:sz w:val="18"/>
              </w:rPr>
              <w:t>Planned public guide; private applications must remain protected and noindex.</w:t>
            </w:r>
          </w:p>
        </w:tc>
      </w:tr>
      <w:tr>
        <w:tc>
          <w:tcPr>
            <w:tcW w:type="dxa" w:w="3213"/>
          </w:tcPr>
          <w:p>
            <w:r>
              <w:rPr>
                <w:sz w:val="18"/>
              </w:rPr>
              <w:t>/sign-in, /sign-up, /agents, /sessions, /approvals</w:t>
            </w:r>
          </w:p>
        </w:tc>
        <w:tc>
          <w:tcPr>
            <w:tcW w:type="dxa" w:w="3213"/>
          </w:tcPr>
          <w:p>
            <w:r>
              <w:rPr>
                <w:sz w:val="18"/>
              </w:rPr>
              <w:t>Account access, private management and runtime records.</w:t>
            </w:r>
          </w:p>
        </w:tc>
        <w:tc>
          <w:tcPr>
            <w:tcW w:type="dxa" w:w="3213"/>
          </w:tcPr>
          <w:p>
            <w:r>
              <w:rPr>
                <w:sz w:val="18"/>
              </w:rPr>
              <w:t>Noindex; authorization remains mandatory.</w:t>
            </w:r>
          </w:p>
        </w:tc>
      </w:tr>
    </w:tbl>
    <w:p>
      <w:pPr>
        <w:pStyle w:val="Heading2"/>
      </w:pPr>
      <w:r>
        <w:t>Example metadata — recommendations, not current tags</w:t>
      </w:r>
    </w:p>
    <w:p>
      <w:r>
        <w:t>Home title: “SI Agents Marketplace | Determinstic”. Description: “Discover and test SI agents with declared capabilities, predictable routing and human approval for guarded writes. Publish your own developer listings.”</w:t>
      </w:r>
    </w:p>
    <w:p>
      <w:r>
        <w:t>SIDBMS page title: “SIDBMS Verification &amp; Shielding | Determinstic”. Description: “Explore the engineered SIDBMS framework, awaiting activation, with verification, shielding, simulation application/KYC and marketplace connection controls.”</w:t>
      </w:r>
    </w:p>
    <w:p>
      <w:r>
        <w:t>Use a listing's actual name, task and publisher in its title rather than repeating one shell title everywhere. Use breadcrumbs and clear HTML links between guides, relevant categories and real listings. Keep homepage and discovery content sufficiently distinct; use consistent canonical signals to resolve genuinely duplicate representations. [8]</w:t>
      </w:r>
    </w:p>
    <w:p>
      <w:r>
        <w:t>Use verified host https://www.agtstore.si for canonical, sitemap and social URLs. Toolkit additions require republishing. [7]</w:t>
      </w:r>
    </w:p>
    <w:p>
      <w:pPr>
        <w:pStyle w:val="Heading1"/>
      </w:pPr>
      <w:r>
        <w:t>6. Companion and widget content discoverability</w:t>
      </w:r>
    </w:p>
    <w:p>
      <w:r>
        <w:t>Expand the strategy around capabilities developers can actually use and the Engineered SIDBMS framework awaiting activation. These keyword groups set search-content activation priorities, not measured demand. The table distinguishes existing release surfaces from editorial activation targets; it does not claim new routes, deployed optimizations or guaranteed rankings. [7] [5]</w:t>
      </w:r>
    </w:p>
    <w:p>
      <w:pPr>
        <w:pStyle w:val="Caption"/>
      </w:pPr>
      <w:r>
        <w:t>Table 4. Companion and widget content discoverability</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Search intent / activation priority</w:t>
            </w:r>
          </w:p>
        </w:tc>
        <w:tc>
          <w:tcPr>
            <w:tcW w:type="dxa" w:w="3213"/>
          </w:tcPr>
          <w:p>
            <w:r>
              <w:rPr>
                <w:sz w:val="18"/>
              </w:rPr>
              <w:t>Page target</w:t>
            </w:r>
          </w:p>
        </w:tc>
        <w:tc>
          <w:tcPr>
            <w:tcW w:type="dxa" w:w="3213"/>
          </w:tcPr>
          <w:p>
            <w:r>
              <w:rPr>
                <w:sz w:val="18"/>
              </w:rPr>
              <w:t>Useful evidence / action</w:t>
            </w:r>
          </w:p>
        </w:tc>
      </w:tr>
      <w:tr>
        <w:tc>
          <w:tcPr>
            <w:tcW w:type="dxa" w:w="3213"/>
          </w:tcPr>
          <w:p>
            <w:r>
              <w:rPr>
                <w:sz w:val="18"/>
              </w:rPr>
              <w:t>SI developer companion; agent developer workbench</w:t>
            </w:r>
          </w:p>
        </w:tc>
        <w:tc>
          <w:tcPr>
            <w:tcW w:type="dxa" w:w="3213"/>
          </w:tcPr>
          <w:p>
            <w:r>
              <w:rPr>
                <w:sz w:val="18"/>
              </w:rPr>
              <w:t>Existing /developers; add a visible companion walkthrough.</w:t>
            </w:r>
          </w:p>
        </w:tc>
        <w:tc>
          <w:tcPr>
            <w:tcW w:type="dxa" w:w="3213"/>
          </w:tcPr>
          <w:p>
            <w:r>
              <w:rPr>
                <w:sz w:val="18"/>
              </w:rPr>
              <w:t>Show build, validate and private test steps; open the companion.</w:t>
            </w:r>
          </w:p>
        </w:tc>
      </w:tr>
      <w:tr>
        <w:tc>
          <w:tcPr>
            <w:tcW w:type="dxa" w:w="3213"/>
          </w:tcPr>
          <w:p>
            <w:r>
              <w:rPr>
                <w:sz w:val="18"/>
              </w:rPr>
              <w:t>Agent manifest validator; SI agent JSON schema</w:t>
            </w:r>
          </w:p>
        </w:tc>
        <w:tc>
          <w:tcPr>
            <w:tcW w:type="dxa" w:w="3213"/>
          </w:tcPr>
          <w:p>
            <w:r>
              <w:rPr>
                <w:sz w:val="18"/>
              </w:rPr>
              <w:t>Existing /developers (section: workbench) and downloads.</w:t>
            </w:r>
          </w:p>
        </w:tc>
        <w:tc>
          <w:tcPr>
            <w:tcW w:type="dxa" w:w="3213"/>
          </w:tcPr>
          <w:p>
            <w:r>
              <w:rPr>
                <w:sz w:val="18"/>
              </w:rPr>
              <w:t>Use a real invalid/valid example; validate or download the kit.</w:t>
            </w:r>
          </w:p>
        </w:tc>
      </w:tr>
      <w:tr>
        <w:tc>
          <w:tcPr>
            <w:tcW w:type="dxa" w:w="3213"/>
          </w:tcPr>
          <w:p>
            <w:r>
              <w:rPr>
                <w:sz w:val="18"/>
              </w:rPr>
              <w:t>Embed SI agent; agent listing HTML widget</w:t>
            </w:r>
          </w:p>
        </w:tc>
        <w:tc>
          <w:tcPr>
            <w:tcW w:type="dxa" w:w="3213"/>
          </w:tcPr>
          <w:p>
            <w:r>
              <w:rPr>
                <w:sz w:val="18"/>
              </w:rPr>
              <w:t>Existing /developers (section: website-widget) and published listing pages.</w:t>
            </w:r>
          </w:p>
        </w:tc>
        <w:tc>
          <w:tcPr>
            <w:tcW w:type="dxa" w:w="3213"/>
          </w:tcPr>
          <w:p>
            <w:r>
              <w:rPr>
                <w:sz w:val="18"/>
              </w:rPr>
              <w:t>Explain copy/download, public-only data and the test-link boundary.</w:t>
            </w:r>
          </w:p>
        </w:tc>
      </w:tr>
      <w:tr>
        <w:tc>
          <w:tcPr>
            <w:tcW w:type="dxa" w:w="3213"/>
          </w:tcPr>
          <w:p>
            <w:r>
              <w:rPr>
                <w:sz w:val="18"/>
              </w:rPr>
              <w:t>How to use SI Companion</w:t>
            </w:r>
          </w:p>
        </w:tc>
        <w:tc>
          <w:tcPr>
            <w:tcW w:type="dxa" w:w="3213"/>
          </w:tcPr>
          <w:p>
            <w:r>
              <w:rPr>
                <w:sz w:val="18"/>
              </w:rPr>
              <w:t>Proposed /guides/si-developer-companion; Not Activated.</w:t>
            </w:r>
          </w:p>
        </w:tc>
        <w:tc>
          <w:tcPr>
            <w:tcW w:type="dxa" w:w="3213"/>
          </w:tcPr>
          <w:p>
            <w:r>
              <w:rPr>
                <w:sz w:val="18"/>
              </w:rPr>
              <w:t>An original current walkthrough, limitations and draft-replacement behaviour.</w:t>
            </w:r>
          </w:p>
        </w:tc>
      </w:tr>
      <w:tr>
        <w:tc>
          <w:tcPr>
            <w:tcW w:type="dxa" w:w="3213"/>
          </w:tcPr>
          <w:p>
            <w:r>
              <w:rPr>
                <w:sz w:val="18"/>
              </w:rPr>
              <w:t>How to add an agent widget to a website</w:t>
            </w:r>
          </w:p>
        </w:tc>
        <w:tc>
          <w:tcPr>
            <w:tcW w:type="dxa" w:w="3213"/>
          </w:tcPr>
          <w:p>
            <w:r>
              <w:rPr>
                <w:sz w:val="18"/>
              </w:rPr>
              <w:t>Proposed /guides/embed-an-agent; Not Activated.</w:t>
            </w:r>
          </w:p>
        </w:tc>
        <w:tc>
          <w:tcPr>
            <w:tcW w:type="dxa" w:w="3213"/>
          </w:tcPr>
          <w:p>
            <w:r>
              <w:rPr>
                <w:sz w:val="18"/>
              </w:rPr>
              <w:t>A real HTML example, production-link check and CSP guidance.</w:t>
            </w:r>
          </w:p>
        </w:tc>
      </w:tr>
    </w:tbl>
    <w:p>
      <w:pPr>
        <w:pStyle w:val="Heading2"/>
      </w:pPr>
      <w:r>
        <w:t>Metadata and discovery recommendations</w:t>
      </w:r>
    </w:p>
    <w:p>
      <w:r>
        <w:t>Suggested Hub title: “SI Developer Tools &amp; Website Widgets | Determinstic”. Description: “Validate manifests, inspect tools and create public listing widgets. Use SI Companion for guided publishing and private marketplace tests.” These are proposed tags, not the current deployed metadata. Link home/discovery → Hub → relevant real listing, and guides → their matching tool. Anchors are sections of one canonical page, not separate sitemap entries. Keep explanatory content visible without opening the drawer. [9] [8]</w:t>
      </w:r>
    </w:p>
    <w:p>
      <w:pPr>
        <w:pStyle w:val="Heading2"/>
      </w:pPr>
      <w:r>
        <w:t>Useful FAQs and responsible distribution</w:t>
      </w:r>
    </w:p>
    <w:p>
      <w:r>
        <w:t>Answer whether the companion is an extension, whether the widget executes an agent, what remains private, and whether SIDBMS is connected. Use accurate answers: in-app workbench, no automatic execution, account-scoped private actions, no live adapter. Offer embeds for genuine usefulness, not forced backlinks or mass link placement. Do not promise FAQ rich results or rankings. [10]</w:t>
      </w:r>
    </w:p>
    <w:p>
      <w:r>
        <w:t>Proposed events: companion_open, manifest_validated, draft_handoff, widget_copy and widget_download, followed by useful tests/publication. They are not instrumented yet. Never collect manifest text, private messages or approval arguments. Script-free widgets emit no external view/click telemetry, and current noreferrer links do not provide reliable source attribution.</w:t>
      </w:r>
    </w:p>
    <w:p>
      <w:pPr>
        <w:pStyle w:val="Heading1"/>
      </w:pPr>
      <w:r>
        <w:t>7. Technical search accessibility and privacy boundaries</w:t>
      </w:r>
    </w:p>
    <w:p>
      <w:r>
        <w:t>The marketplace application is client-rendered React/Vite. This publication adds two standalone public HTML papers with complete initial-response text, unique metadata, canonical URLs, accessible downloads, an XML sitemap and a general crawler-discovery directive. These research-page provisions do not establish a comprehensive canonical/noindex or rendering system for all marketplace routes. Listing-wide SEO, private-route indexing controls and social-image improvements remain recommendations pending their own implementation and checks. [1] [7]</w:t>
      </w:r>
    </w:p>
    <w:p>
      <w:pPr>
        <w:pStyle w:val="Caption"/>
      </w:pPr>
      <w:r>
        <w:t>Table 5. Technical search accessibility and privacy boundaries</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Priority</w:t>
            </w:r>
          </w:p>
        </w:tc>
        <w:tc>
          <w:tcPr>
            <w:tcW w:type="dxa" w:w="3213"/>
          </w:tcPr>
          <w:p>
            <w:r>
              <w:rPr>
                <w:sz w:val="18"/>
              </w:rPr>
              <w:t>Action</w:t>
            </w:r>
          </w:p>
        </w:tc>
        <w:tc>
          <w:tcPr>
            <w:tcW w:type="dxa" w:w="3213"/>
          </w:tcPr>
          <w:p>
            <w:r>
              <w:rPr>
                <w:sz w:val="18"/>
              </w:rPr>
              <w:t>Acceptance check</w:t>
            </w:r>
          </w:p>
        </w:tc>
      </w:tr>
      <w:tr>
        <w:tc>
          <w:tcPr>
            <w:tcW w:type="dxa" w:w="3213"/>
          </w:tcPr>
          <w:p>
            <w:r>
              <w:rPr>
                <w:sz w:val="18"/>
              </w:rPr>
              <w:t>P0 / public HTML</w:t>
            </w:r>
          </w:p>
        </w:tc>
        <w:tc>
          <w:tcPr>
            <w:tcW w:type="dxa" w:w="3213"/>
          </w:tcPr>
          <w:p>
            <w:r>
              <w:rPr>
                <w:sz w:val="18"/>
              </w:rPr>
              <w:t>Serve meaningful public content via appropriate server rendering or prerendering; keep the developer application interactive.</w:t>
            </w:r>
          </w:p>
        </w:tc>
        <w:tc>
          <w:tcPr>
            <w:tcW w:type="dxa" w:w="3213"/>
          </w:tcPr>
          <w:p>
            <w:r>
              <w:rPr>
                <w:sz w:val="18"/>
              </w:rPr>
              <w:t>Inspect initial and rendered HTML for home, a listing and a guide; verify crawler-visible text.</w:t>
            </w:r>
          </w:p>
        </w:tc>
      </w:tr>
      <w:tr>
        <w:tc>
          <w:tcPr>
            <w:tcW w:type="dxa" w:w="3213"/>
          </w:tcPr>
          <w:p>
            <w:r>
              <w:rPr>
                <w:sz w:val="18"/>
              </w:rPr>
              <w:t>P0 / status codes</w:t>
            </w:r>
          </w:p>
        </w:tc>
        <w:tc>
          <w:tcPr>
            <w:tcW w:type="dxa" w:w="3213"/>
          </w:tcPr>
          <w:p>
            <w:r>
              <w:rPr>
                <w:sz w:val="18"/>
              </w:rPr>
              <w:t>Return real not-found responses for removed/private public listings; avoid a generic successful application shell for every URL.</w:t>
            </w:r>
          </w:p>
        </w:tc>
        <w:tc>
          <w:tcPr>
            <w:tcW w:type="dxa" w:w="3213"/>
          </w:tcPr>
          <w:p>
            <w:r>
              <w:rPr>
                <w:sz w:val="18"/>
              </w:rPr>
              <w:t>HTTP status and rendered page agree; private APIs keep returning 401/404 as appropriate.</w:t>
            </w:r>
          </w:p>
        </w:tc>
      </w:tr>
      <w:tr>
        <w:tc>
          <w:tcPr>
            <w:tcW w:type="dxa" w:w="3213"/>
          </w:tcPr>
          <w:p>
            <w:r>
              <w:rPr>
                <w:sz w:val="18"/>
              </w:rPr>
              <w:t>P0 / private routes</w:t>
            </w:r>
          </w:p>
        </w:tc>
        <w:tc>
          <w:tcPr>
            <w:tcW w:type="dxa" w:w="3213"/>
          </w:tcPr>
          <w:p>
            <w:r>
              <w:rPr>
                <w:sz w:val="18"/>
              </w:rPr>
              <w:t>Implement route-specific noindex for account, management and test pages; keep authentication enforced.</w:t>
            </w:r>
          </w:p>
        </w:tc>
        <w:tc>
          <w:tcPr>
            <w:tcW w:type="dxa" w:w="3213"/>
          </w:tcPr>
          <w:p>
            <w:r>
              <w:rPr>
                <w:sz w:val="18"/>
              </w:rPr>
              <w:t>Private content never appears in public HTML or sitemap; noindex is not treated as access control.</w:t>
            </w:r>
          </w:p>
        </w:tc>
      </w:tr>
      <w:tr>
        <w:tc>
          <w:tcPr>
            <w:tcW w:type="dxa" w:w="3213"/>
          </w:tcPr>
          <w:p>
            <w:r>
              <w:rPr>
                <w:sz w:val="18"/>
              </w:rPr>
              <w:t>P1 / metadata</w:t>
            </w:r>
          </w:p>
        </w:tc>
        <w:tc>
          <w:tcPr>
            <w:tcW w:type="dxa" w:w="3213"/>
          </w:tcPr>
          <w:p>
            <w:r>
              <w:rPr>
                <w:sz w:val="18"/>
              </w:rPr>
              <w:t>Unique titles/descriptions, canonical URLs and real hosted social images for public pages.</w:t>
            </w:r>
          </w:p>
        </w:tc>
        <w:tc>
          <w:tcPr>
            <w:tcW w:type="dxa" w:w="3213"/>
          </w:tcPr>
          <w:p>
            <w:r>
              <w:rPr>
                <w:sz w:val="18"/>
              </w:rPr>
              <w:t>URL Inspection, page source and share-card previews show the intended page.</w:t>
            </w:r>
          </w:p>
        </w:tc>
      </w:tr>
      <w:tr>
        <w:tc>
          <w:tcPr>
            <w:tcW w:type="dxa" w:w="3213"/>
          </w:tcPr>
          <w:p>
            <w:r>
              <w:rPr>
                <w:sz w:val="18"/>
              </w:rPr>
              <w:t>P1 / discovery</w:t>
            </w:r>
          </w:p>
        </w:tc>
        <w:tc>
          <w:tcPr>
            <w:tcW w:type="dxa" w:w="3213"/>
          </w:tcPr>
          <w:p>
            <w:r>
              <w:rPr>
                <w:sz w:val="18"/>
              </w:rPr>
              <w:t>Generate an XML sitemap of canonical public URLs; control sorting/filter permutations.</w:t>
            </w:r>
          </w:p>
        </w:tc>
        <w:tc>
          <w:tcPr>
            <w:tcW w:type="dxa" w:w="3213"/>
          </w:tcPr>
          <w:p>
            <w:r>
              <w:rPr>
                <w:sz w:val="18"/>
              </w:rPr>
              <w:t>Sitemap is XML, not a fallback HTML page; curated facets do not create crawl traps.</w:t>
            </w:r>
          </w:p>
        </w:tc>
      </w:tr>
      <w:tr>
        <w:tc>
          <w:tcPr>
            <w:tcW w:type="dxa" w:w="3213"/>
          </w:tcPr>
          <w:p>
            <w:r>
              <w:rPr>
                <w:sz w:val="18"/>
              </w:rPr>
              <w:t>P1 / schema</w:t>
            </w:r>
          </w:p>
        </w:tc>
        <w:tc>
          <w:tcPr>
            <w:tcW w:type="dxa" w:w="3213"/>
          </w:tcPr>
          <w:p>
            <w:r>
              <w:rPr>
                <w:sz w:val="18"/>
              </w:rPr>
              <w:t>Use accurate Organization/WebSite, BreadcrumbList and appropriate catalog/page data; add SoftwareApplication only when warranted.</w:t>
            </w:r>
          </w:p>
        </w:tc>
        <w:tc>
          <w:tcPr>
            <w:tcW w:type="dxa" w:w="3213"/>
          </w:tcPr>
          <w:p>
            <w:r>
              <w:rPr>
                <w:sz w:val="18"/>
              </w:rPr>
              <w:t>Visible facts match markup; no fabricated prices, reviews, ratings or verification badges.</w:t>
            </w:r>
          </w:p>
        </w:tc>
      </w:tr>
      <w:tr>
        <w:tc>
          <w:tcPr>
            <w:tcW w:type="dxa" w:w="3213"/>
          </w:tcPr>
          <w:p>
            <w:r>
              <w:rPr>
                <w:sz w:val="18"/>
              </w:rPr>
              <w:t>P2 / experience</w:t>
            </w:r>
          </w:p>
        </w:tc>
        <w:tc>
          <w:tcPr>
            <w:tcW w:type="dxa" w:w="3213"/>
          </w:tcPr>
          <w:p>
            <w:r>
              <w:rPr>
                <w:sz w:val="18"/>
              </w:rPr>
              <w:t>Measure performance, optimize images/fonts and reserve media dimensions; localize only real translations.</w:t>
            </w:r>
          </w:p>
        </w:tc>
        <w:tc>
          <w:tcPr>
            <w:tcW w:type="dxa" w:w="3213"/>
          </w:tcPr>
          <w:p>
            <w:r>
              <w:rPr>
                <w:sz w:val="18"/>
              </w:rPr>
              <w:t>Track field LCP, INP and CLS; validate reciprocal locale annotations where applicable.</w:t>
            </w:r>
          </w:p>
        </w:tc>
      </w:tr>
    </w:tbl>
    <w:p>
      <w:r>
        <w:t>Google can render JavaScript; the issue is reliable discovery, rendering, performance and access for other crawlers—not that every SPA is invisible. SSR/prerendering is recommended here as a delivery strategy, not a compulsory framework replacement. Validate actual output before changing architecture. [9]</w:t>
      </w:r>
    </w:p>
    <w:p>
      <w:r>
        <w:t>Sitemaps help discovery but do not guarantee indexing. Canonicalization and facet crawl management solve different problems. Software-app rich results require eligible, genuine page data; structured data never guarantees a special search appearance. [11] [12] [13] [14]</w:t>
      </w:r>
    </w:p>
    <w:p>
      <w:r>
        <w:t>For true language variants, use distinct URLs and appropriate reciprocal hreflang rather than auto-redirecting visitors by location. Performance goals should follow Core Web Vitals guidance, not be advertised as guaranteed ranking improvements. [15] [16]</w:t>
      </w:r>
    </w:p>
    <w:p>
      <w:pPr>
        <w:pStyle w:val="Heading1"/>
      </w:pPr>
      <w:r>
        <w:t>8. Evidence-led editorial strategy and developer activation</w:t>
      </w:r>
    </w:p>
    <w:p>
      <w:r>
        <w:t>The editorial advantage is specificity. Show what a manifest allows, how the test behaves, why a write pauses and what a screening decision does not establish. Assign a named technical reviewer and show meaningful update dates. Google's people-first and spam guidance supports original value rather than large volumes of interchangeable, automatically generated pages. [5] [10]</w:t>
      </w:r>
    </w:p>
    <w:p>
      <w:pPr>
        <w:pStyle w:val="Caption"/>
      </w:pPr>
      <w:r>
        <w:t>Table 6. Evidence-led editorial strategy and developer activation</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Wave</w:t>
            </w:r>
          </w:p>
        </w:tc>
        <w:tc>
          <w:tcPr>
            <w:tcW w:type="dxa" w:w="3213"/>
          </w:tcPr>
          <w:p>
            <w:r>
              <w:rPr>
                <w:sz w:val="18"/>
              </w:rPr>
              <w:t>Article or asset</w:t>
            </w:r>
          </w:p>
        </w:tc>
        <w:tc>
          <w:tcPr>
            <w:tcW w:type="dxa" w:w="3213"/>
          </w:tcPr>
          <w:p>
            <w:r>
              <w:rPr>
                <w:sz w:val="18"/>
              </w:rPr>
              <w:t>Evidence / conversion</w:t>
            </w:r>
          </w:p>
        </w:tc>
      </w:tr>
      <w:tr>
        <w:tc>
          <w:tcPr>
            <w:tcW w:type="dxa" w:w="3213"/>
          </w:tcPr>
          <w:p>
            <w:r>
              <w:rPr>
                <w:sz w:val="18"/>
              </w:rPr>
              <w:t>1</w:t>
            </w:r>
          </w:p>
        </w:tc>
        <w:tc>
          <w:tcPr>
            <w:tcW w:type="dxa" w:w="3213"/>
          </w:tcPr>
          <w:p>
            <w:r>
              <w:rPr>
                <w:sz w:val="18"/>
              </w:rPr>
              <w:t>What is a deterministic SI agent?</w:t>
            </w:r>
          </w:p>
        </w:tc>
        <w:tc>
          <w:tcPr>
            <w:tcW w:type="dxa" w:w="3213"/>
          </w:tcPr>
          <w:p>
            <w:r>
              <w:rPr>
                <w:sz w:val="18"/>
              </w:rPr>
              <w:t>A fixed-routing example; link to an actual testable listing.</w:t>
            </w:r>
          </w:p>
        </w:tc>
      </w:tr>
      <w:tr>
        <w:tc>
          <w:tcPr>
            <w:tcW w:type="dxa" w:w="3213"/>
          </w:tcPr>
          <w:p>
            <w:r>
              <w:rPr>
                <w:sz w:val="18"/>
              </w:rPr>
              <w:t>1</w:t>
            </w:r>
          </w:p>
        </w:tc>
        <w:tc>
          <w:tcPr>
            <w:tcW w:type="dxa" w:w="3213"/>
          </w:tcPr>
          <w:p>
            <w:r>
              <w:rPr>
                <w:sz w:val="18"/>
              </w:rPr>
              <w:t>Publish your first SI agent using SI Companion</w:t>
            </w:r>
          </w:p>
        </w:tc>
        <w:tc>
          <w:tcPr>
            <w:tcW w:type="dxa" w:w="3213"/>
          </w:tcPr>
          <w:p>
            <w:r>
              <w:rPr>
                <w:sz w:val="18"/>
              </w:rPr>
              <w:t>Current studio and draft walkthrough; signup → completed listing.</w:t>
            </w:r>
          </w:p>
        </w:tc>
      </w:tr>
      <w:tr>
        <w:tc>
          <w:tcPr>
            <w:tcW w:type="dxa" w:w="3213"/>
          </w:tcPr>
          <w:p>
            <w:r>
              <w:rPr>
                <w:sz w:val="18"/>
              </w:rPr>
              <w:t>1</w:t>
            </w:r>
          </w:p>
        </w:tc>
        <w:tc>
          <w:tcPr>
            <w:tcW w:type="dxa" w:w="3213"/>
          </w:tcPr>
          <w:p>
            <w:r>
              <w:rPr>
                <w:sz w:val="18"/>
              </w:rPr>
              <w:t>Read an agent manifest before you launch</w:t>
            </w:r>
          </w:p>
        </w:tc>
        <w:tc>
          <w:tcPr>
            <w:tcW w:type="dxa" w:w="3213"/>
          </w:tcPr>
          <w:p>
            <w:r>
              <w:rPr>
                <w:sz w:val="18"/>
              </w:rPr>
              <w:t>Annotated tools, version, source and license; listing inspection.</w:t>
            </w:r>
          </w:p>
        </w:tc>
      </w:tr>
      <w:tr>
        <w:tc>
          <w:tcPr>
            <w:tcW w:type="dxa" w:w="3213"/>
          </w:tcPr>
          <w:p>
            <w:r>
              <w:rPr>
                <w:sz w:val="18"/>
              </w:rPr>
              <w:t>1</w:t>
            </w:r>
          </w:p>
        </w:tc>
        <w:tc>
          <w:tcPr>
            <w:tcW w:type="dxa" w:w="3213"/>
          </w:tcPr>
          <w:p>
            <w:r>
              <w:rPr>
                <w:sz w:val="18"/>
              </w:rPr>
              <w:t>How human approval protects guarded note writes</w:t>
            </w:r>
          </w:p>
        </w:tc>
        <w:tc>
          <w:tcPr>
            <w:tcW w:type="dxa" w:w="3213"/>
          </w:tcPr>
          <w:p>
            <w:r>
              <w:rPr>
                <w:sz w:val="18"/>
              </w:rPr>
              <w:t>A paused request and exact arguments; session → approved/rejected decision.</w:t>
            </w:r>
          </w:p>
        </w:tc>
      </w:tr>
      <w:tr>
        <w:tc>
          <w:tcPr>
            <w:tcW w:type="dxa" w:w="3213"/>
          </w:tcPr>
          <w:p>
            <w:r>
              <w:rPr>
                <w:sz w:val="18"/>
              </w:rPr>
              <w:t>2</w:t>
            </w:r>
          </w:p>
        </w:tc>
        <w:tc>
          <w:tcPr>
            <w:tcW w:type="dxa" w:w="3213"/>
          </w:tcPr>
          <w:p>
            <w:r>
              <w:rPr>
                <w:sz w:val="18"/>
              </w:rPr>
              <w:t>Field Notes: private note search and controlled creation</w:t>
            </w:r>
          </w:p>
        </w:tc>
        <w:tc>
          <w:tcPr>
            <w:tcW w:type="dxa" w:w="3213"/>
          </w:tcPr>
          <w:p>
            <w:r>
              <w:rPr>
                <w:sz w:val="18"/>
              </w:rPr>
              <w:t>Current workflow and limitations; launch a real example.</w:t>
            </w:r>
          </w:p>
        </w:tc>
      </w:tr>
      <w:tr>
        <w:tc>
          <w:tcPr>
            <w:tcW w:type="dxa" w:w="3213"/>
          </w:tcPr>
          <w:p>
            <w:r>
              <w:rPr>
                <w:sz w:val="18"/>
              </w:rPr>
              <w:t>2</w:t>
            </w:r>
          </w:p>
        </w:tc>
        <w:tc>
          <w:tcPr>
            <w:tcW w:type="dxa" w:w="3213"/>
          </w:tcPr>
          <w:p>
            <w:r>
              <w:rPr>
                <w:sz w:val="18"/>
              </w:rPr>
              <w:t>Weather Desk: why a fixture is not a live forecast</w:t>
            </w:r>
          </w:p>
        </w:tc>
        <w:tc>
          <w:tcPr>
            <w:tcW w:type="dxa" w:w="3213"/>
          </w:tcPr>
          <w:p>
            <w:r>
              <w:rPr>
                <w:sz w:val="18"/>
              </w:rPr>
              <w:t>Sample-data disclosure; demonstrate honest capability labelling.</w:t>
            </w:r>
          </w:p>
        </w:tc>
      </w:tr>
      <w:tr>
        <w:tc>
          <w:tcPr>
            <w:tcW w:type="dxa" w:w="3213"/>
          </w:tcPr>
          <w:p>
            <w:r>
              <w:rPr>
                <w:sz w:val="18"/>
              </w:rPr>
              <w:t>2</w:t>
            </w:r>
          </w:p>
        </w:tc>
        <w:tc>
          <w:tcPr>
            <w:tcW w:type="dxa" w:w="3213"/>
          </w:tcPr>
          <w:p>
            <w:r>
              <w:rPr>
                <w:sz w:val="18"/>
              </w:rPr>
              <w:t>SIDBMS explained: screening, simulation and audit visibility</w:t>
            </w:r>
          </w:p>
        </w:tc>
        <w:tc>
          <w:tcPr>
            <w:tcW w:type="dxa" w:w="3213"/>
          </w:tcPr>
          <w:p>
            <w:r>
              <w:rPr>
                <w:sz w:val="18"/>
              </w:rPr>
              <w:t>Cited public scope; integration explainer, not a false certification claim.</w:t>
            </w:r>
          </w:p>
        </w:tc>
      </w:tr>
      <w:tr>
        <w:tc>
          <w:tcPr>
            <w:tcW w:type="dxa" w:w="3213"/>
          </w:tcPr>
          <w:p>
            <w:r>
              <w:rPr>
                <w:sz w:val="18"/>
              </w:rPr>
              <w:t>2</w:t>
            </w:r>
          </w:p>
        </w:tc>
        <w:tc>
          <w:tcPr>
            <w:tcW w:type="dxa" w:w="3213"/>
          </w:tcPr>
          <w:p>
            <w:r>
              <w:rPr>
                <w:sz w:val="18"/>
              </w:rPr>
              <w:t>Preview, receipt and execution: three different kinds of evidence</w:t>
            </w:r>
          </w:p>
        </w:tc>
        <w:tc>
          <w:tcPr>
            <w:tcW w:type="dxa" w:w="3213"/>
          </w:tcPr>
          <w:p>
            <w:r>
              <w:rPr>
                <w:sz w:val="18"/>
              </w:rPr>
              <w:t>A clearly labelled conceptual example; no invented live receipt.</w:t>
            </w:r>
          </w:p>
        </w:tc>
      </w:tr>
      <w:tr>
        <w:tc>
          <w:tcPr>
            <w:tcW w:type="dxa" w:w="3213"/>
          </w:tcPr>
          <w:p>
            <w:r>
              <w:rPr>
                <w:sz w:val="18"/>
              </w:rPr>
              <w:t>3</w:t>
            </w:r>
          </w:p>
        </w:tc>
        <w:tc>
          <w:tcPr>
            <w:tcW w:type="dxa" w:w="3213"/>
          </w:tcPr>
          <w:p>
            <w:r>
              <w:rPr>
                <w:sz w:val="18"/>
              </w:rPr>
              <w:t>Agent ownership and private test sessions</w:t>
            </w:r>
          </w:p>
        </w:tc>
        <w:tc>
          <w:tcPr>
            <w:tcW w:type="dxa" w:w="3213"/>
          </w:tcPr>
          <w:p>
            <w:r>
              <w:rPr>
                <w:sz w:val="18"/>
              </w:rPr>
              <w:t>Cross-account authorization methodology; developer trust.</w:t>
            </w:r>
          </w:p>
        </w:tc>
      </w:tr>
      <w:tr>
        <w:tc>
          <w:tcPr>
            <w:tcW w:type="dxa" w:w="3213"/>
          </w:tcPr>
          <w:p>
            <w:r>
              <w:rPr>
                <w:sz w:val="18"/>
              </w:rPr>
              <w:t>3</w:t>
            </w:r>
          </w:p>
        </w:tc>
        <w:tc>
          <w:tcPr>
            <w:tcW w:type="dxa" w:w="3213"/>
          </w:tcPr>
          <w:p>
            <w:r>
              <w:rPr>
                <w:sz w:val="18"/>
              </w:rPr>
              <w:t>Deterministic versus probabilistic agent workflows</w:t>
            </w:r>
          </w:p>
        </w:tc>
        <w:tc>
          <w:tcPr>
            <w:tcW w:type="dxa" w:w="3213"/>
          </w:tcPr>
          <w:p>
            <w:r>
              <w:rPr>
                <w:sz w:val="18"/>
              </w:rPr>
              <w:t>A fair technical comparison; explain current model-free behaviour.</w:t>
            </w:r>
          </w:p>
        </w:tc>
      </w:tr>
      <w:tr>
        <w:tc>
          <w:tcPr>
            <w:tcW w:type="dxa" w:w="3213"/>
          </w:tcPr>
          <w:p>
            <w:r>
              <w:rPr>
                <w:sz w:val="18"/>
              </w:rPr>
              <w:t>3</w:t>
            </w:r>
          </w:p>
        </w:tc>
        <w:tc>
          <w:tcPr>
            <w:tcW w:type="dxa" w:w="3213"/>
          </w:tcPr>
          <w:p>
            <w:r>
              <w:rPr>
                <w:sz w:val="18"/>
              </w:rPr>
              <w:t>Parameter shielding: supported request risks and limits</w:t>
            </w:r>
          </w:p>
        </w:tc>
        <w:tc>
          <w:tcPr>
            <w:tcW w:type="dxa" w:w="3213"/>
          </w:tcPr>
          <w:p>
            <w:r>
              <w:rPr>
                <w:sz w:val="18"/>
              </w:rPr>
              <w:t>Vendor-sourced examples; no universal attack-prevention claim.</w:t>
            </w:r>
          </w:p>
        </w:tc>
      </w:tr>
      <w:tr>
        <w:tc>
          <w:tcPr>
            <w:tcW w:type="dxa" w:w="3213"/>
          </w:tcPr>
          <w:p>
            <w:r>
              <w:rPr>
                <w:sz w:val="18"/>
              </w:rPr>
              <w:t>3</w:t>
            </w:r>
          </w:p>
        </w:tc>
        <w:tc>
          <w:tcPr>
            <w:tcW w:type="dxa" w:w="3213"/>
          </w:tcPr>
          <w:p>
            <w:r>
              <w:rPr>
                <w:sz w:val="18"/>
              </w:rPr>
              <w:t>Release notes and reproducibility reports</w:t>
            </w:r>
          </w:p>
        </w:tc>
        <w:tc>
          <w:tcPr>
            <w:tcW w:type="dxa" w:w="3213"/>
          </w:tcPr>
          <w:p>
            <w:r>
              <w:rPr>
                <w:sz w:val="18"/>
              </w:rPr>
              <w:t>Only measured results, versions and methodology; returning developers.</w:t>
            </w:r>
          </w:p>
        </w:tc>
      </w:tr>
    </w:tbl>
    <w:p>
      <w:pPr>
        <w:pStyle w:val="Heading2"/>
      </w:pPr>
      <w:r>
        <w:t>Two acquisition paths</w:t>
      </w:r>
    </w:p>
    <w:p>
      <w:r>
        <w:t>Developer path: guide → Hub/Companion → valid draft → sign-in → private test → publication. Widget path: useful external embed → public listing → sign-in → explicit test. SIDBMS remains a separate explainer → application → KYC → scope approval → simulation path. Do not imply an already active marketplace connection.</w:t>
      </w:r>
    </w:p>
    <w:p>
      <w:r>
        <w:t>Build distribution through genuine repository documentation, developer demonstrations, issue-driven tutorials and relevant technical communities. Ask listing authors to link back from their real projects where useful; avoid paid link schemes, fabricated testimonials and mass guest-post exchanges. Refresh content when the manifest or runtime changes, not simply to simulate freshness. [10]</w:t>
      </w:r>
    </w:p>
    <w:p>
      <w:pPr>
        <w:pStyle w:val="Heading1"/>
      </w:pPr>
      <w:r>
        <w:t>9. Implementation sequencing and measurement design</w:t>
      </w:r>
    </w:p>
    <w:p>
      <w:pPr>
        <w:pStyle w:val="Caption"/>
      </w:pPr>
      <w:r>
        <w:t>Table 7. Implementation sequencing and measurement design</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Window</w:t>
            </w:r>
          </w:p>
        </w:tc>
        <w:tc>
          <w:tcPr>
            <w:tcW w:type="dxa" w:w="3213"/>
          </w:tcPr>
          <w:p>
            <w:r>
              <w:rPr>
                <w:sz w:val="18"/>
              </w:rPr>
              <w:t>Deliverables and owner</w:t>
            </w:r>
          </w:p>
        </w:tc>
        <w:tc>
          <w:tcPr>
            <w:tcW w:type="dxa" w:w="3213"/>
          </w:tcPr>
          <w:p>
            <w:r>
              <w:rPr>
                <w:sz w:val="18"/>
              </w:rPr>
              <w:t>Exit evidence</w:t>
            </w:r>
          </w:p>
        </w:tc>
      </w:tr>
      <w:tr>
        <w:tc>
          <w:tcPr>
            <w:tcW w:type="dxa" w:w="3213"/>
          </w:tcPr>
          <w:p>
            <w:r>
              <w:rPr>
                <w:sz w:val="18"/>
              </w:rPr>
              <w:t>Days 1–15</w:t>
            </w:r>
          </w:p>
        </w:tc>
        <w:tc>
          <w:tcPr>
            <w:tcW w:type="dxa" w:w="3213"/>
          </w:tcPr>
          <w:p>
            <w:r>
              <w:rPr>
                <w:sz w:val="18"/>
              </w:rPr>
              <w:t>Product/engineering: confirm production domain and publication, privacy/terms, claim inventory, public/private routing, listing quality rules and SIDBMS integration status.</w:t>
            </w:r>
          </w:p>
        </w:tc>
        <w:tc>
          <w:tcPr>
            <w:tcW w:type="dxa" w:w="3213"/>
          </w:tcPr>
          <w:p>
            <w:r>
              <w:rPr>
                <w:sz w:val="18"/>
              </w:rPr>
              <w:t>One approved scope statement; public pages and private controls behave correctly.</w:t>
            </w:r>
          </w:p>
        </w:tc>
      </w:tr>
      <w:tr>
        <w:tc>
          <w:tcPr>
            <w:tcW w:type="dxa" w:w="3213"/>
          </w:tcPr>
          <w:p>
            <w:r>
              <w:rPr>
                <w:sz w:val="18"/>
              </w:rPr>
              <w:t>Days 16–30</w:t>
            </w:r>
          </w:p>
        </w:tc>
        <w:tc>
          <w:tcPr>
            <w:tcW w:type="dxa" w:w="3213"/>
          </w:tcPr>
          <w:p>
            <w:r>
              <w:rPr>
                <w:sz w:val="18"/>
              </w:rPr>
              <w:t>Engineering/SEO: canonical strategy, route metadata, initial/rendered content checks, sitemap, status-code handling and Search Console verification.</w:t>
            </w:r>
          </w:p>
        </w:tc>
        <w:tc>
          <w:tcPr>
            <w:tcW w:type="dxa" w:w="3213"/>
          </w:tcPr>
          <w:p>
            <w:r>
              <w:rPr>
                <w:sz w:val="18"/>
              </w:rPr>
              <w:t>Representative URLs inspected; sitemap accepted; baseline recorded.</w:t>
            </w:r>
          </w:p>
        </w:tc>
      </w:tr>
      <w:tr>
        <w:tc>
          <w:tcPr>
            <w:tcW w:type="dxa" w:w="3213"/>
          </w:tcPr>
          <w:p>
            <w:r>
              <w:rPr>
                <w:sz w:val="18"/>
              </w:rPr>
              <w:t>Days 31–60</w:t>
            </w:r>
          </w:p>
        </w:tc>
        <w:tc>
          <w:tcPr>
            <w:tcW w:type="dxa" w:w="3213"/>
          </w:tcPr>
          <w:p>
            <w:r>
              <w:rPr>
                <w:sz w:val="18"/>
              </w:rPr>
              <w:t>Editorial/developer relations: publish the first eight useful guides, enrich real listings and categories, assess keyword activation priorities against actual queries.</w:t>
            </w:r>
          </w:p>
        </w:tc>
        <w:tc>
          <w:tcPr>
            <w:tcW w:type="dxa" w:w="3213"/>
          </w:tcPr>
          <w:p>
            <w:r>
              <w:rPr>
                <w:sz w:val="18"/>
              </w:rPr>
              <w:t>Content reviewed against current workflows; impressions and activation tracked.</w:t>
            </w:r>
          </w:p>
        </w:tc>
      </w:tr>
      <w:tr>
        <w:tc>
          <w:tcPr>
            <w:tcW w:type="dxa" w:w="3213"/>
          </w:tcPr>
          <w:p>
            <w:r>
              <w:rPr>
                <w:sz w:val="18"/>
              </w:rPr>
              <w:t>Days 61–90</w:t>
            </w:r>
          </w:p>
        </w:tc>
        <w:tc>
          <w:tcPr>
            <w:tcW w:type="dxa" w:w="3213"/>
          </w:tcPr>
          <w:p>
            <w:r>
              <w:rPr>
                <w:sz w:val="18"/>
              </w:rPr>
              <w:t>Product/SIDBMS liaison: use the application/KYC process, map the documented handshakes to SIDBMS's service configuration and preserve human review/local verification. SEO: refine using observed demand.</w:t>
            </w:r>
          </w:p>
        </w:tc>
        <w:tc>
          <w:tcPr>
            <w:tcW w:type="dxa" w:w="3213"/>
          </w:tcPr>
          <w:p>
            <w:r>
              <w:rPr>
                <w:sz w:val="18"/>
              </w:rPr>
              <w:t>Accurate connection status, scoped access and observable service outcomes.</w:t>
            </w:r>
          </w:p>
        </w:tc>
      </w:tr>
    </w:tbl>
    <w:p>
      <w:pPr>
        <w:pStyle w:val="Heading2"/>
      </w:pPr>
      <w:r>
        <w:t>Measure outcomes, not just visits</w:t>
      </w:r>
    </w:p>
    <w:p>
      <w:r>
        <w:t>The proposed north-star measure is weekly accounts completing a useful test on a public listing, with developer publication as the supply-side companion. Instrument a minimal funnel: organic landing → listing view → sign-up complete → listing published or session started → first useful result. These events and dashboards are recommendations; custom funnel instrumentation was not confirmed in the current build.</w:t>
      </w:r>
    </w:p>
    <w:p>
      <w:pPr>
        <w:pStyle w:val="Caption"/>
      </w:pPr>
      <w:r>
        <w:t>Table 8. Implementation sequencing and measurement design</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Metric</w:t>
            </w:r>
          </w:p>
        </w:tc>
        <w:tc>
          <w:tcPr>
            <w:tcW w:type="dxa" w:w="3213"/>
          </w:tcPr>
          <w:p>
            <w:r>
              <w:rPr>
                <w:sz w:val="18"/>
              </w:rPr>
              <w:t>Definition</w:t>
            </w:r>
          </w:p>
        </w:tc>
        <w:tc>
          <w:tcPr>
            <w:tcW w:type="dxa" w:w="3213"/>
          </w:tcPr>
          <w:p>
            <w:r>
              <w:rPr>
                <w:sz w:val="18"/>
              </w:rPr>
              <w:t>Review / owner</w:t>
            </w:r>
          </w:p>
        </w:tc>
      </w:tr>
      <w:tr>
        <w:tc>
          <w:tcPr>
            <w:tcW w:type="dxa" w:w="3213"/>
          </w:tcPr>
          <w:p>
            <w:r>
              <w:rPr>
                <w:sz w:val="18"/>
              </w:rPr>
              <w:t>Search discovery</w:t>
            </w:r>
          </w:p>
        </w:tc>
        <w:tc>
          <w:tcPr>
            <w:tcW w:type="dxa" w:w="3213"/>
          </w:tcPr>
          <w:p>
            <w:r>
              <w:rPr>
                <w:sz w:val="18"/>
              </w:rPr>
              <w:t>Relevant non-brand and brand impressions/clicks by query, page and country.</w:t>
            </w:r>
          </w:p>
        </w:tc>
        <w:tc>
          <w:tcPr>
            <w:tcW w:type="dxa" w:w="3213"/>
          </w:tcPr>
          <w:p>
            <w:r>
              <w:rPr>
                <w:sz w:val="18"/>
              </w:rPr>
              <w:t>Weekly / SEO lead</w:t>
            </w:r>
          </w:p>
        </w:tc>
      </w:tr>
      <w:tr>
        <w:tc>
          <w:tcPr>
            <w:tcW w:type="dxa" w:w="3213"/>
          </w:tcPr>
          <w:p>
            <w:r>
              <w:rPr>
                <w:sz w:val="18"/>
              </w:rPr>
              <w:t>Index health</w:t>
            </w:r>
          </w:p>
        </w:tc>
        <w:tc>
          <w:tcPr>
            <w:tcW w:type="dxa" w:w="3213"/>
          </w:tcPr>
          <w:p>
            <w:r>
              <w:rPr>
                <w:sz w:val="18"/>
              </w:rPr>
              <w:t>Eligible public URLs indexed, canonical mismatches, sitemap and not-found issues.</w:t>
            </w:r>
          </w:p>
        </w:tc>
        <w:tc>
          <w:tcPr>
            <w:tcW w:type="dxa" w:w="3213"/>
          </w:tcPr>
          <w:p>
            <w:r>
              <w:rPr>
                <w:sz w:val="18"/>
              </w:rPr>
              <w:t>Weekly / engineering</w:t>
            </w:r>
          </w:p>
        </w:tc>
      </w:tr>
      <w:tr>
        <w:tc>
          <w:tcPr>
            <w:tcW w:type="dxa" w:w="3213"/>
          </w:tcPr>
          <w:p>
            <w:r>
              <w:rPr>
                <w:sz w:val="18"/>
              </w:rPr>
              <w:t>Developer activation</w:t>
            </w:r>
          </w:p>
        </w:tc>
        <w:tc>
          <w:tcPr>
            <w:tcW w:type="dxa" w:w="3213"/>
          </w:tcPr>
          <w:p>
            <w:r>
              <w:rPr>
                <w:sz w:val="18"/>
              </w:rPr>
              <w:t>Accounts publishing a valid first listing ÷ developer sign-ups in the same cohort.</w:t>
            </w:r>
          </w:p>
        </w:tc>
        <w:tc>
          <w:tcPr>
            <w:tcW w:type="dxa" w:w="3213"/>
          </w:tcPr>
          <w:p>
            <w:r>
              <w:rPr>
                <w:sz w:val="18"/>
              </w:rPr>
              <w:t>Weekly / product</w:t>
            </w:r>
          </w:p>
        </w:tc>
      </w:tr>
      <w:tr>
        <w:tc>
          <w:tcPr>
            <w:tcW w:type="dxa" w:w="3213"/>
          </w:tcPr>
          <w:p>
            <w:r>
              <w:rPr>
                <w:sz w:val="18"/>
              </w:rPr>
              <w:t>User activation</w:t>
            </w:r>
          </w:p>
        </w:tc>
        <w:tc>
          <w:tcPr>
            <w:tcW w:type="dxa" w:w="3213"/>
          </w:tcPr>
          <w:p>
            <w:r>
              <w:rPr>
                <w:sz w:val="18"/>
              </w:rPr>
              <w:t>Accounts reaching a defined useful test result ÷ accounts starting a test.</w:t>
            </w:r>
          </w:p>
        </w:tc>
        <w:tc>
          <w:tcPr>
            <w:tcW w:type="dxa" w:w="3213"/>
          </w:tcPr>
          <w:p>
            <w:r>
              <w:rPr>
                <w:sz w:val="18"/>
              </w:rPr>
              <w:t>Weekly / product</w:t>
            </w:r>
          </w:p>
        </w:tc>
      </w:tr>
      <w:tr>
        <w:tc>
          <w:tcPr>
            <w:tcW w:type="dxa" w:w="3213"/>
          </w:tcPr>
          <w:p>
            <w:r>
              <w:rPr>
                <w:sz w:val="18"/>
              </w:rPr>
              <w:t>Trust quality</w:t>
            </w:r>
          </w:p>
        </w:tc>
        <w:tc>
          <w:tcPr>
            <w:tcW w:type="dxa" w:w="3213"/>
          </w:tcPr>
          <w:p>
            <w:r>
              <w:rPr>
                <w:sz w:val="18"/>
              </w:rPr>
              <w:t>Owner-access regressions, misleading claims, approval failures and private-data exposure incidents.</w:t>
            </w:r>
          </w:p>
        </w:tc>
        <w:tc>
          <w:tcPr>
            <w:tcW w:type="dxa" w:w="3213"/>
          </w:tcPr>
          <w:p>
            <w:r>
              <w:rPr>
                <w:sz w:val="18"/>
              </w:rPr>
              <w:t>Per release / security &amp; engineering</w:t>
            </w:r>
          </w:p>
        </w:tc>
      </w:tr>
      <w:tr>
        <w:tc>
          <w:tcPr>
            <w:tcW w:type="dxa" w:w="3213"/>
          </w:tcPr>
          <w:p>
            <w:r>
              <w:rPr>
                <w:sz w:val="18"/>
              </w:rPr>
              <w:t>Future SIDBMS quality</w:t>
            </w:r>
          </w:p>
        </w:tc>
        <w:tc>
          <w:tcPr>
            <w:tcW w:type="dxa" w:w="3213"/>
          </w:tcPr>
          <w:p>
            <w:r>
              <w:rPr>
                <w:sz w:val="18"/>
              </w:rPr>
              <w:t>Only after integration: valid receipt linkage, decision latency, failures, expiry and replay outcomes.</w:t>
            </w:r>
          </w:p>
        </w:tc>
        <w:tc>
          <w:tcPr>
            <w:tcW w:type="dxa" w:w="3213"/>
          </w:tcPr>
          <w:p>
            <w:r>
              <w:rPr>
                <w:sz w:val="18"/>
              </w:rPr>
              <w:t>Pilot review / integration owner</w:t>
            </w:r>
          </w:p>
        </w:tc>
      </w:tr>
    </w:tbl>
    <w:p>
      <w:r>
        <w:t>Search Console supplies indexing and search-performance evidence, while application analytics must measure in-product outcomes. Establish a launch baseline before setting growth targets; no traffic, revenue, search volume or ranking forecast is asserted here. Segment staff/test accounts, avoid collecting note contents in analytics, and review consent and retention needs before instrumentation. [6]</w:t>
      </w:r>
    </w:p>
    <w:p>
      <w:pPr>
        <w:pStyle w:val="Heading1"/>
      </w:pPr>
      <w:r>
        <w:t>10. Claim discipline, limitations and publication conclusions</w:t>
      </w:r>
    </w:p>
    <w:p>
      <w:pPr>
        <w:pStyle w:val="Caption"/>
      </w:pPr>
      <w:r>
        <w:t>Table 9. Claim discipline, limitations and publication conclusions</w:t>
      </w:r>
    </w:p>
    <w:tbl>
      <w:tblPr>
        <w:tblStyle w:val="LightShading-Accent1"/>
        <w:tblW w:type="auto" w:w="0"/>
        <w:tblLook w:firstColumn="1" w:firstRow="1" w:lastColumn="0" w:lastRow="0" w:noHBand="0" w:noVBand="1" w:val="04A0"/>
      </w:tblPr>
      <w:tblGrid>
        <w:gridCol w:w="3213"/>
        <w:gridCol w:w="3213"/>
        <w:gridCol w:w="3213"/>
      </w:tblGrid>
      <w:tr>
        <w:trPr>
          <w:tblHeader/>
        </w:trPr>
        <w:tc>
          <w:tcPr>
            <w:tcW w:type="dxa" w:w="3213"/>
          </w:tcPr>
          <w:p>
            <w:r>
              <w:rPr>
                <w:sz w:val="18"/>
              </w:rPr>
              <w:t>Use this language</w:t>
            </w:r>
          </w:p>
        </w:tc>
        <w:tc>
          <w:tcPr>
            <w:tcW w:type="dxa" w:w="3213"/>
          </w:tcPr>
          <w:p>
            <w:r>
              <w:rPr>
                <w:sz w:val="18"/>
              </w:rPr>
              <w:t>Avoid this language</w:t>
            </w:r>
          </w:p>
        </w:tc>
        <w:tc>
          <w:tcPr>
            <w:tcW w:type="dxa" w:w="3213"/>
          </w:tcPr>
          <w:p>
            <w:r>
              <w:rPr>
                <w:sz w:val="18"/>
              </w:rPr>
              <w:t>Reason</w:t>
            </w:r>
          </w:p>
        </w:tc>
      </w:tr>
      <w:tr>
        <w:tc>
          <w:tcPr>
            <w:tcW w:type="dxa" w:w="3213"/>
          </w:tcPr>
          <w:p>
            <w:r>
              <w:rPr>
                <w:sz w:val="18"/>
              </w:rPr>
              <w:t>“Fixed routing rules and declared tool capabilities.”</w:t>
            </w:r>
          </w:p>
        </w:tc>
        <w:tc>
          <w:tcPr>
            <w:tcW w:type="dxa" w:w="3213"/>
          </w:tcPr>
          <w:p>
            <w:r>
              <w:rPr>
                <w:sz w:val="18"/>
              </w:rPr>
              <w:t>“Every agent is guaranteed deterministic, accurate and safe.”</w:t>
            </w:r>
          </w:p>
        </w:tc>
        <w:tc>
          <w:tcPr>
            <w:tcW w:type="dxa" w:w="3213"/>
          </w:tcPr>
          <w:p>
            <w:r>
              <w:rPr>
                <w:sz w:val="18"/>
              </w:rPr>
              <w:t>Observed routing does not establish universal correctness.</w:t>
            </w:r>
          </w:p>
        </w:tc>
      </w:tr>
      <w:tr>
        <w:tc>
          <w:tcPr>
            <w:tcW w:type="dxa" w:w="3213"/>
          </w:tcPr>
          <w:p>
            <w:r>
              <w:rPr>
                <w:sz w:val="18"/>
              </w:rPr>
              <w:t>“Private account-owned sessions and guarded writes.”</w:t>
            </w:r>
          </w:p>
        </w:tc>
        <w:tc>
          <w:tcPr>
            <w:tcW w:type="dxa" w:w="3213"/>
          </w:tcPr>
          <w:p>
            <w:r>
              <w:rPr>
                <w:sz w:val="18"/>
              </w:rPr>
              <w:t>“Certified enterprise security” or “verified developer identity.”</w:t>
            </w:r>
          </w:p>
        </w:tc>
        <w:tc>
          <w:tcPr>
            <w:tcW w:type="dxa" w:w="3213"/>
          </w:tcPr>
          <w:p>
            <w:r>
              <w:rPr>
                <w:sz w:val="18"/>
              </w:rPr>
              <w:t>Authentication/ownership is not KYC or independent certification.</w:t>
            </w:r>
          </w:p>
        </w:tc>
      </w:tr>
      <w:tr>
        <w:tc>
          <w:tcPr>
            <w:tcW w:type="dxa" w:w="3213"/>
          </w:tcPr>
          <w:p>
            <w:r>
              <w:rPr>
                <w:sz w:val="18"/>
              </w:rPr>
              <w:t>“SIDBMS documents signed request screening and simulations.”</w:t>
            </w:r>
          </w:p>
        </w:tc>
        <w:tc>
          <w:tcPr>
            <w:tcW w:type="dxa" w:w="3213"/>
          </w:tcPr>
          <w:p>
            <w:r>
              <w:rPr>
                <w:sz w:val="18"/>
              </w:rPr>
              <w:t>“SIDBMS already protects every marketplace transaction.”</w:t>
            </w:r>
          </w:p>
        </w:tc>
        <w:tc>
          <w:tcPr>
            <w:tcW w:type="dxa" w:w="3213"/>
          </w:tcPr>
          <w:p>
            <w:r>
              <w:rPr>
                <w:sz w:val="18"/>
              </w:rPr>
              <w:t>No current marketplace adapter or live-target forwarding was established.</w:t>
            </w:r>
          </w:p>
        </w:tc>
      </w:tr>
      <w:tr>
        <w:tc>
          <w:tcPr>
            <w:tcW w:type="dxa" w:w="3213"/>
          </w:tcPr>
          <w:p>
            <w:r>
              <w:rPr>
                <w:sz w:val="18"/>
              </w:rPr>
              <w:t>“Screened under a stated policy and scope.”</w:t>
            </w:r>
          </w:p>
        </w:tc>
        <w:tc>
          <w:tcPr>
            <w:tcW w:type="dxa" w:w="3213"/>
          </w:tcPr>
          <w:p>
            <w:r>
              <w:rPr>
                <w:sz w:val="18"/>
              </w:rPr>
              <w:t>“ALLOWED means harmless” or “receipt proves execution.”</w:t>
            </w:r>
          </w:p>
        </w:tc>
        <w:tc>
          <w:tcPr>
            <w:tcW w:type="dxa" w:w="3213"/>
          </w:tcPr>
          <w:p>
            <w:r>
              <w:rPr>
                <w:sz w:val="18"/>
              </w:rPr>
              <w:t>SIDBMS explicitly distinguishes these outcomes. [17]</w:t>
            </w:r>
          </w:p>
        </w:tc>
      </w:tr>
      <w:tr>
        <w:tc>
          <w:tcPr>
            <w:tcW w:type="dxa" w:w="3213"/>
          </w:tcPr>
          <w:p>
            <w:r>
              <w:rPr>
                <w:sz w:val="18"/>
              </w:rPr>
              <w:t>“Super Intelligence” as the product's terminology.</w:t>
            </w:r>
          </w:p>
        </w:tc>
        <w:tc>
          <w:tcPr>
            <w:tcW w:type="dxa" w:w="3213"/>
          </w:tcPr>
          <w:p>
            <w:r>
              <w:rPr>
                <w:sz w:val="18"/>
              </w:rPr>
              <w:t>“Scientifically demonstrated general superintelligence.”</w:t>
            </w:r>
          </w:p>
        </w:tc>
        <w:tc>
          <w:tcPr>
            <w:tcW w:type="dxa" w:w="3213"/>
          </w:tcPr>
          <w:p>
            <w:r>
              <w:rPr>
                <w:sz w:val="18"/>
              </w:rPr>
              <w:t>The name is not a benchmark result or certification. [18]</w:t>
            </w:r>
          </w:p>
        </w:tc>
      </w:tr>
    </w:tbl>
    <w:p>
      <w:pPr>
        <w:pStyle w:val="Heading2"/>
      </w:pPr>
      <w:r>
        <w:t>Suggested public overview</w:t>
      </w:r>
    </w:p>
    <w:p>
      <w:r>
        <w:t>PUBLICATION-READY WEBSITE / PARTNER COPY. Determinstic SI Agents Marketplace helps developers publish SI agents and users discover, inspect and test them. This release adds SI Companion, templates, validation, an offline CLI, private exports and public website widgets. Confirm publication before promoting new features as live. SIDBMS remains the intended verification/operations layer, with application/KYC, stateless handshakes and human review. Marketplace verification stays; no live adapter is claimed. By Glial Super Intelligence™.</w:t>
      </w:r>
    </w:p>
    <w:p>
      <w:pPr>
        <w:pStyle w:val="Heading2"/>
      </w:pPr>
      <w:r>
        <w:t>Publication status and operational responsibilities</w:t>
      </w:r>
    </w:p>
    <w:p>
      <w:r>
        <w:t>The dossier is ready without marketplace re-certification of SIDBMS architecture. SIDBMS owns its technical assertions, admission/KYC, human reviews and procedures. The marketplace retains its listing accuracy, ownership, API response/request verification, applicable approval checks, privacy and actual connection status. Application, endpoints, handshakes, stateless processing and human controls remain part of the documented model.</w:t>
      </w:r>
    </w:p>
    <w:p>
      <w:pPr>
        <w:pStyle w:val="Heading2"/>
      </w:pPr>
      <w:r>
        <w:t>Evidence limits</w:t>
      </w:r>
    </w:p>
    <w:p>
      <w:r>
        <w:t>Public SIDBMS descriptions, the supplied disclosure and Project Statement clarifications are identified separately. Token-level interception and the 54.2 ns assertion are attributed to SIDBMS, not independently measured here. The endpoint reference does not assert a deployed route catalog; no full public interface inventory, pricing or SLA was found. Local code review does not establish production uptime, compliance or a live adapter.</w:t>
      </w:r>
    </w:p>
    <w:p>
      <w:r>
        <w:t>Research date: 17 October 2026, Asia/Dubai (some saved fetch timestamps are 16 October in UTC). The service catalog is complete relative to the reviewed public descriptions. Search recommendations are an execution strategy, not an indexing or ranking guarantee. Source citations identify the evidence for factual descriptions; proposed routes, metrics, workflows and priorities are recommendations.</w:t>
      </w:r>
    </w:p>
    <w:p>
      <w:pPr>
        <w:pStyle w:val="Heading1"/>
      </w:pPr>
      <w:r>
        <w:t>References</w:t>
      </w:r>
    </w:p>
    <w:p>
      <w:r>
        <w:t>[1] Marketplace implementation and development verification review. Internal snapshot, 17 October 2026. Internal implementation evidence.</w:t>
      </w:r>
    </w:p>
    <w:p>
      <w:r>
        <w:t>[2] A Comprehensive Technical Analysis of the Einstein-Daramola Synthesis: Bridging Local Hidden-Variable Physics with Deterministic Hyperscale Computing. Undated supplied edition; 5 PDF pages. Project Statement supporting analysis; not independent scientific validation.</w:t>
      </w:r>
    </w:p>
    <w:p>
      <w:r>
        <w:t>[3] Shielding SI: parameter shielding and unified gateway reference. Undated supplied edition; 11 PDF pages. Project Statement supporting architecture and illustrative code; not a deployed or independently audited gateway.</w:t>
      </w:r>
    </w:p>
    <w:p>
      <w:r>
        <w:t>[4] Project Statement — stateless SIDBMS, handshakes and human-in-the-loop controls. Direct Project Statement instructions, 17 October 2026. Project Statement product model and publication scope.</w:t>
      </w:r>
    </w:p>
    <w:p>
      <w:r>
        <w:t>[5] Creating Helpful, Reliable, People-First Content. Official documentation; accessed 17 October 2026. Tier 1: official technical guidance for Google Search. https://developers.google.com/search/docs/fundamentals/creating-helpful-content</w:t>
      </w:r>
    </w:p>
    <w:p>
      <w:r>
        <w:t>[6] How to Use Search Console. Official documentation; accessed 17 October 2026. Tier 1: official technical guidance for Google Search. https://developers.google.com/search/docs/monitor-debug/search-console-start</w:t>
      </w:r>
    </w:p>
    <w:p>
      <w:r>
        <w:t>[7] Developer toolkit delivery — implemented features, checks and release boundary. Internal implementation snapshot, 17 October 2026. Internal implementation evidence; not independent certification.</w:t>
      </w:r>
    </w:p>
    <w:p>
      <w:r>
        <w:t>[8] How to Specify a Canonical URL. Official documentation; accessed 17 October 2026. Tier 1: official technical guidance for Google Search. https://developers.google.com/search/docs/crawling-indexing/consolidate-duplicate-urls</w:t>
      </w:r>
    </w:p>
    <w:p>
      <w:r>
        <w:t>[9] Understand JavaScript SEO Basics. Official documentation; accessed 17 October 2026. Tier 1: official technical guidance for Google Search. https://developers.google.com/search/docs/crawling-indexing/javascript/javascript-seo-basics</w:t>
      </w:r>
    </w:p>
    <w:p>
      <w:r>
        <w:t>[10] Spam Policies for Google Web Search. Official documentation; accessed 17 October 2026. Tier 1: official technical guidance for Google Search. https://developers.google.com/search/docs/essentials/spam-policies</w:t>
      </w:r>
    </w:p>
    <w:p>
      <w:r>
        <w:t>[11] Build and Submit a Sitemap. Official documentation; accessed 17 October 2026. Tier 1: official technical guidance for Google Search. https://developers.google.com/search/docs/crawling-indexing/sitemaps/build-sitemap?hl=en</w:t>
      </w:r>
    </w:p>
    <w:p>
      <w:r>
        <w:t>[12] Managing Crawling of Faceted Navigation URLs. Official documentation; accessed 17 October 2026. Tier 1: official technical guidance for Google Search. https://developers.google.com/crawling/docs/faceted-navigation</w:t>
      </w:r>
    </w:p>
    <w:p>
      <w:r>
        <w:t>[13] Software App Structured Data. Official documentation; accessed 17 October 2026. Tier 1: official technical guidance for Google Search. https://developers.google.com/search/docs/appearance/structured-data/software-app</w:t>
      </w:r>
    </w:p>
    <w:p>
      <w:r>
        <w:t>[14] General Structured Data Guidelines. Official documentation; accessed 17 October 2026. Tier 1: official technical guidance for Google Search. https://developers.google.com/search/docs/appearance/structured-data/sd-policies</w:t>
      </w:r>
    </w:p>
    <w:p>
      <w:r>
        <w:t>[15] Managing Multi-Regional and Multilingual Sites. Official documentation; accessed 17 October 2026. Tier 1: official technical guidance for Google Search. https://developers.google.com/search/docs/specialty/international/managing-multi-regional-sites</w:t>
      </w:r>
    </w:p>
    <w:p>
      <w:r>
        <w:t>[16] Understanding Core Web Vitals and Google Search Results. Official documentation; accessed 17 October 2026. Tier 1: official technical guidance for Google Search. https://developers.google.com/search/docs/appearance/core-web-vitals</w:t>
      </w:r>
    </w:p>
    <w:p>
      <w:r>
        <w:t>[17] Glial Core — SIDBMS Verification &amp; Operations. Undated. Tier 3: vendor-controlled product information. https://www.sidbms.com/glial-core</w:t>
      </w:r>
    </w:p>
    <w:p>
      <w:r>
        <w:t>[18] Glial Super Intelligence — The SIDBMS Project. Undated. Tier 3: vendor-controlled product information. https://www.sidbms.com/glial-super-intelligence</w:t>
      </w:r>
    </w:p>
    <w:p>
      <w:r>
        <w:t>This is an attributed technical position paper, not an independent scientific certification or security guarantee. Reference endpoints and Not Activated services are not represented as live marketplace integrations. Public availability permits crawling but does not guarantee search indexing, ranking or inclusion in scholarly databases.</w:t>
      </w:r>
    </w:p>
    <w:sectPr w:rsidR="00FC693F" w:rsidRPr="0006063C" w:rsidSect="00034616">
      <w:headerReference w:type="default" r:id="rId9"/>
      <w:footerReference w:type="default" r:id="rId10"/>
      <w:pgSz w:w="11906" w:h="16838"/>
      <w:pgMar w:top="1191" w:right="1134" w:bottom="119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By Glial Super Intelligence™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Determinstic SI Agents Marketplace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4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20365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20365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Search Accessibility for a Deterministic SI Agents Marketplace</dc:title>
  <dc:subject>An academic-style strategy for public evidence, developer discovery and SIDBMS-related content</dc:subject>
  <dc:creator>Glial Super Intelligence</dc:creator>
  <cp:keywords>SI, Super Intelligence, SIDBMS, deterministic agents, parameter shielding</cp:keywords>
  <dc:description>generated by python-docx</dc:description>
  <cp:lastModifiedBy/>
  <cp:revision>1</cp:revision>
  <dcterms:created xsi:type="dcterms:W3CDTF">2013-12-23T23:15:00Z</dcterms:created>
  <dcterms:modified xsi:type="dcterms:W3CDTF">2013-12-23T23:15:00Z</dcterms:modified>
  <cp:category/>
</cp:coreProperties>
</file>